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olors7.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charts/colors6.xml" ContentType="application/vnd.ms-office.chartcolorstyle+xml"/>
  <Override PartName="/word/charts/style6.xml" ContentType="application/vnd.ms-office.chartstyle+xml"/>
  <Override PartName="/word/charts/style7.xml" ContentType="application/vnd.ms-office.chartstyle+xml"/>
  <Override PartName="/word/charts/chart6.xml" ContentType="application/vnd.openxmlformats-officedocument.drawingml.chart+xml"/>
  <Override PartName="/word/charts/colors8.xml" ContentType="application/vnd.ms-office.chartcolorstyle+xml"/>
  <Override PartName="/word/theme/theme1.xml" ContentType="application/vnd.openxmlformats-officedocument.theme+xml"/>
  <Override PartName="/word/theme/themeOverride5.xml" ContentType="application/vnd.openxmlformats-officedocument.themeOverride+xml"/>
  <Override PartName="/word/charts/style8.xml" ContentType="application/vnd.ms-office.chartstyle+xml"/>
  <Override PartName="/word/charts/colors5.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Override3.xml" ContentType="application/vnd.openxmlformats-officedocument.themeOverride+xml"/>
  <Override PartName="/word/charts/colors2.xml" ContentType="application/vnd.ms-office.chartcolorstyle+xml"/>
  <Override PartName="/word/charts/chart3.xml" ContentType="application/vnd.openxmlformats-officedocument.drawingml.chart+xml"/>
  <Override PartName="/word/charts/style5.xml" ContentType="application/vnd.ms-office.chartstyle+xml"/>
  <Override PartName="/word/charts/chart5.xml" ContentType="application/vnd.openxmlformats-officedocument.drawingml.chart+xml"/>
  <Override PartName="/word/charts/colors4.xml" ContentType="application/vnd.ms-office.chartcolorstyle+xml"/>
  <Override PartName="/word/theme/themeOverride1.xml" ContentType="application/vnd.openxmlformats-officedocument.themeOverride+xml"/>
  <Override PartName="/word/charts/style4.xml" ContentType="application/vnd.ms-office.chart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5FC" w:rsidRPr="00AB758C" w:rsidRDefault="00E905FC" w:rsidP="00E905FC">
      <w:pPr>
        <w:spacing w:after="200" w:line="276" w:lineRule="auto"/>
        <w:ind w:left="397" w:hanging="397"/>
        <w:jc w:val="center"/>
        <w:rPr>
          <w:rFonts w:ascii="Cambria" w:eastAsia="Calibri" w:hAnsi="Cambria" w:cs="Times New Roman"/>
          <w:b/>
          <w:color w:val="0070C0"/>
          <w:sz w:val="24"/>
          <w:szCs w:val="24"/>
        </w:rPr>
      </w:pPr>
      <w:bookmarkStart w:id="0" w:name="_GoBack"/>
      <w:bookmarkEnd w:id="0"/>
      <w:r w:rsidRPr="00AB758C">
        <w:rPr>
          <w:rFonts w:ascii="Cambria" w:eastAsia="Calibri" w:hAnsi="Cambria" w:cs="Times New Roman"/>
          <w:b/>
          <w:color w:val="0070C0"/>
          <w:sz w:val="24"/>
          <w:szCs w:val="24"/>
        </w:rPr>
        <w:t xml:space="preserve">                                                                                                                                 </w:t>
      </w:r>
      <w:bookmarkStart w:id="1" w:name="_Toc294012050"/>
    </w:p>
    <w:p w:rsidR="00E905FC" w:rsidRPr="00AB758C" w:rsidRDefault="00E905FC" w:rsidP="00E905FC">
      <w:pPr>
        <w:spacing w:after="200" w:line="276" w:lineRule="auto"/>
        <w:ind w:left="397" w:hanging="397"/>
        <w:jc w:val="center"/>
        <w:rPr>
          <w:rFonts w:ascii="Cambria" w:eastAsia="Calibri" w:hAnsi="Cambria" w:cs="Times New Roman"/>
          <w:b/>
          <w:color w:val="0070C0"/>
          <w:sz w:val="24"/>
          <w:szCs w:val="24"/>
        </w:rPr>
      </w:pPr>
      <w:r w:rsidRPr="00AB758C">
        <w:rPr>
          <w:rFonts w:ascii="Cambria" w:eastAsia="Calibri" w:hAnsi="Cambria" w:cs="Arial"/>
          <w:noProof/>
          <w:color w:val="0070C0"/>
          <w:sz w:val="24"/>
          <w:szCs w:val="24"/>
          <w:lang w:eastAsia="hr-HR"/>
        </w:rPr>
        <w:drawing>
          <wp:inline distT="0" distB="0" distL="0" distR="0" wp14:anchorId="4F0E6F06" wp14:editId="77C61856">
            <wp:extent cx="600075" cy="800100"/>
            <wp:effectExtent l="0" t="0" r="9525" b="0"/>
            <wp:docPr id="5" name="Picture 5"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_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inline>
        </w:drawing>
      </w:r>
      <w:bookmarkStart w:id="2" w:name="_Toc294012051"/>
      <w:bookmarkEnd w:id="1"/>
      <w:r w:rsidRPr="00AB758C">
        <w:rPr>
          <w:rFonts w:ascii="Cambria" w:eastAsia="Calibri" w:hAnsi="Cambria" w:cs="Times New Roman"/>
          <w:b/>
          <w:color w:val="0070C0"/>
          <w:sz w:val="24"/>
          <w:szCs w:val="24"/>
        </w:rPr>
        <w:t xml:space="preserve"> </w:t>
      </w:r>
    </w:p>
    <w:p w:rsidR="00E905FC" w:rsidRPr="00AB758C" w:rsidRDefault="00E905FC" w:rsidP="00E905FC">
      <w:pPr>
        <w:spacing w:after="120" w:line="276" w:lineRule="auto"/>
        <w:ind w:left="397" w:hanging="397"/>
        <w:jc w:val="center"/>
        <w:rPr>
          <w:rFonts w:ascii="Cambria" w:eastAsia="Calibri" w:hAnsi="Cambria" w:cs="Times New Roman"/>
          <w:b/>
          <w:color w:val="0070C0"/>
          <w:sz w:val="32"/>
          <w:szCs w:val="32"/>
        </w:rPr>
      </w:pPr>
      <w:r w:rsidRPr="00AB758C">
        <w:rPr>
          <w:rFonts w:ascii="Cambria" w:eastAsia="Calibri" w:hAnsi="Cambria" w:cs="Times New Roman"/>
          <w:b/>
          <w:color w:val="0070C0"/>
          <w:sz w:val="32"/>
          <w:szCs w:val="32"/>
        </w:rPr>
        <w:t>Vlada Republike Hrvatske</w:t>
      </w:r>
      <w:bookmarkEnd w:id="2"/>
    </w:p>
    <w:p w:rsidR="00E905FC" w:rsidRPr="00AB758C" w:rsidRDefault="00E905FC" w:rsidP="00E905FC">
      <w:pPr>
        <w:spacing w:after="120" w:line="276" w:lineRule="auto"/>
        <w:ind w:left="397" w:hanging="397"/>
        <w:jc w:val="center"/>
        <w:rPr>
          <w:rFonts w:ascii="Cambria" w:eastAsia="Calibri" w:hAnsi="Cambria" w:cs="Times New Roman"/>
          <w:b/>
          <w:color w:val="0070C0"/>
          <w:sz w:val="32"/>
          <w:szCs w:val="32"/>
        </w:rPr>
      </w:pPr>
      <w:bookmarkStart w:id="3" w:name="_Toc294012052"/>
      <w:r w:rsidRPr="00AB758C">
        <w:rPr>
          <w:rFonts w:ascii="Cambria" w:eastAsia="Calibri" w:hAnsi="Cambria" w:cs="Times New Roman"/>
          <w:b/>
          <w:color w:val="0070C0"/>
          <w:sz w:val="32"/>
          <w:szCs w:val="32"/>
        </w:rPr>
        <w:t xml:space="preserve">Ured za </w:t>
      </w:r>
      <w:bookmarkEnd w:id="3"/>
      <w:r w:rsidR="00AC6B03">
        <w:rPr>
          <w:rFonts w:ascii="Cambria" w:eastAsia="Calibri" w:hAnsi="Cambria" w:cs="Times New Roman"/>
          <w:b/>
          <w:color w:val="0070C0"/>
          <w:sz w:val="32"/>
          <w:szCs w:val="32"/>
        </w:rPr>
        <w:t>zakonodavstvo</w:t>
      </w:r>
    </w:p>
    <w:p w:rsidR="00E905FC" w:rsidRPr="00AB758C" w:rsidRDefault="00E905FC" w:rsidP="00E905FC">
      <w:pPr>
        <w:spacing w:after="300" w:line="240" w:lineRule="auto"/>
        <w:contextualSpacing/>
        <w:jc w:val="center"/>
        <w:rPr>
          <w:rFonts w:ascii="Cambria" w:eastAsia="SimSun" w:hAnsi="Cambria" w:cs="Times New Roman"/>
          <w:b/>
          <w:color w:val="0070C0"/>
          <w:spacing w:val="5"/>
          <w:kern w:val="28"/>
          <w:sz w:val="32"/>
          <w:szCs w:val="32"/>
        </w:rPr>
      </w:pPr>
    </w:p>
    <w:p w:rsidR="00E905FC" w:rsidRPr="00AB758C" w:rsidRDefault="00E905FC" w:rsidP="00E905FC">
      <w:pPr>
        <w:spacing w:after="200" w:line="276" w:lineRule="auto"/>
        <w:ind w:left="397" w:hanging="397"/>
        <w:jc w:val="center"/>
        <w:rPr>
          <w:rFonts w:ascii="Cambria" w:eastAsia="Calibri" w:hAnsi="Cambria" w:cs="Times New Roman"/>
          <w:b/>
          <w:color w:val="0070C0"/>
          <w:sz w:val="32"/>
          <w:szCs w:val="32"/>
        </w:rPr>
      </w:pPr>
    </w:p>
    <w:p w:rsidR="00E905FC" w:rsidRPr="00AB758C" w:rsidRDefault="00E905FC" w:rsidP="00E905FC">
      <w:pPr>
        <w:spacing w:after="300" w:line="240" w:lineRule="auto"/>
        <w:contextualSpacing/>
        <w:jc w:val="center"/>
        <w:rPr>
          <w:rFonts w:ascii="Cambria" w:eastAsia="SimSun" w:hAnsi="Cambria" w:cs="Times New Roman"/>
          <w:b/>
          <w:color w:val="0070C0"/>
          <w:spacing w:val="5"/>
          <w:kern w:val="28"/>
          <w:sz w:val="32"/>
          <w:szCs w:val="32"/>
        </w:rPr>
      </w:pPr>
    </w:p>
    <w:p w:rsidR="00E905FC" w:rsidRDefault="00E905FC" w:rsidP="00E905FC">
      <w:pPr>
        <w:spacing w:after="300" w:line="240" w:lineRule="auto"/>
        <w:contextualSpacing/>
        <w:rPr>
          <w:rFonts w:ascii="Cambria" w:eastAsia="SimSun" w:hAnsi="Cambria" w:cs="Times New Roman"/>
          <w:b/>
          <w:color w:val="0070C0"/>
          <w:spacing w:val="5"/>
          <w:kern w:val="28"/>
          <w:sz w:val="32"/>
          <w:szCs w:val="32"/>
        </w:rPr>
      </w:pPr>
    </w:p>
    <w:p w:rsidR="00C43A01" w:rsidRPr="00AB758C" w:rsidRDefault="00C43A01" w:rsidP="00E905FC">
      <w:pPr>
        <w:spacing w:after="300" w:line="240" w:lineRule="auto"/>
        <w:contextualSpacing/>
        <w:rPr>
          <w:rFonts w:ascii="Cambria" w:eastAsia="SimSun" w:hAnsi="Cambria" w:cs="Times New Roman"/>
          <w:b/>
          <w:color w:val="0070C0"/>
          <w:spacing w:val="5"/>
          <w:kern w:val="28"/>
          <w:sz w:val="32"/>
          <w:szCs w:val="32"/>
        </w:rPr>
      </w:pPr>
    </w:p>
    <w:p w:rsidR="00E905FC" w:rsidRPr="00AB758C" w:rsidRDefault="00E905FC" w:rsidP="00E905FC">
      <w:pPr>
        <w:spacing w:after="300" w:line="240" w:lineRule="auto"/>
        <w:contextualSpacing/>
        <w:jc w:val="center"/>
        <w:rPr>
          <w:rFonts w:ascii="Cambria" w:eastAsia="SimSun" w:hAnsi="Cambria" w:cs="Times New Roman"/>
          <w:b/>
          <w:color w:val="0070C0"/>
          <w:spacing w:val="5"/>
          <w:kern w:val="28"/>
          <w:sz w:val="32"/>
          <w:szCs w:val="32"/>
        </w:rPr>
      </w:pPr>
    </w:p>
    <w:p w:rsidR="00E905FC" w:rsidRPr="00AB758C" w:rsidRDefault="00E905FC" w:rsidP="00E905FC">
      <w:pPr>
        <w:spacing w:after="300" w:line="240" w:lineRule="auto"/>
        <w:contextualSpacing/>
        <w:jc w:val="center"/>
        <w:rPr>
          <w:rFonts w:ascii="Cambria" w:eastAsia="SimSun" w:hAnsi="Cambria" w:cs="Times New Roman"/>
          <w:b/>
          <w:color w:val="0070C0"/>
          <w:spacing w:val="5"/>
          <w:kern w:val="28"/>
          <w:sz w:val="32"/>
          <w:szCs w:val="32"/>
        </w:rPr>
      </w:pPr>
    </w:p>
    <w:p w:rsidR="00E905FC" w:rsidRPr="00AB758C" w:rsidRDefault="00C43A01" w:rsidP="00C43A01">
      <w:pPr>
        <w:spacing w:after="200" w:line="276" w:lineRule="auto"/>
        <w:jc w:val="center"/>
        <w:rPr>
          <w:rFonts w:ascii="Cambria" w:eastAsia="Calibri" w:hAnsi="Cambria" w:cs="Calibri"/>
          <w:b/>
          <w:color w:val="0070C0"/>
          <w:sz w:val="32"/>
          <w:szCs w:val="32"/>
        </w:rPr>
      </w:pPr>
      <w:bookmarkStart w:id="4" w:name="_Hlk169771893"/>
      <w:r w:rsidRPr="00C43A01">
        <w:rPr>
          <w:rFonts w:ascii="Cambria" w:eastAsia="SimSun" w:hAnsi="Cambria" w:cs="Times New Roman"/>
          <w:b/>
          <w:color w:val="0070C0"/>
          <w:spacing w:val="5"/>
          <w:kern w:val="28"/>
          <w:sz w:val="32"/>
          <w:szCs w:val="32"/>
        </w:rPr>
        <w:t>Godišnje izvješće o</w:t>
      </w:r>
      <w:r w:rsidR="006F474E" w:rsidRPr="006F474E">
        <w:rPr>
          <w:rFonts w:ascii="Cambria" w:eastAsia="SimSun" w:hAnsi="Cambria" w:cs="Times New Roman"/>
          <w:b/>
          <w:color w:val="0070C0"/>
          <w:spacing w:val="5"/>
          <w:kern w:val="28"/>
          <w:sz w:val="32"/>
          <w:szCs w:val="32"/>
        </w:rPr>
        <w:t xml:space="preserve"> provedbi savjetovanja s javnošću u postupcima donošenja zakona i drugih propisa za 2023. godinu</w:t>
      </w:r>
    </w:p>
    <w:bookmarkEnd w:id="4"/>
    <w:p w:rsidR="00E905FC" w:rsidRDefault="00E905FC" w:rsidP="00E905FC">
      <w:pPr>
        <w:spacing w:after="200" w:line="276" w:lineRule="auto"/>
        <w:jc w:val="both"/>
        <w:rPr>
          <w:rFonts w:ascii="Cambria" w:eastAsia="Calibri" w:hAnsi="Cambria" w:cs="Calibri"/>
          <w:b/>
          <w:color w:val="0070C0"/>
          <w:sz w:val="32"/>
          <w:szCs w:val="32"/>
        </w:rPr>
      </w:pPr>
    </w:p>
    <w:p w:rsidR="00C43A01" w:rsidRDefault="00C43A01" w:rsidP="00E905FC">
      <w:pPr>
        <w:spacing w:after="200" w:line="276" w:lineRule="auto"/>
        <w:jc w:val="both"/>
        <w:rPr>
          <w:rFonts w:ascii="Cambria" w:eastAsia="Calibri" w:hAnsi="Cambria" w:cs="Calibri"/>
          <w:b/>
          <w:color w:val="0070C0"/>
          <w:sz w:val="32"/>
          <w:szCs w:val="32"/>
        </w:rPr>
      </w:pPr>
    </w:p>
    <w:p w:rsidR="00C43A01" w:rsidRDefault="00C43A01" w:rsidP="00E905FC">
      <w:pPr>
        <w:spacing w:after="200" w:line="276" w:lineRule="auto"/>
        <w:jc w:val="both"/>
        <w:rPr>
          <w:rFonts w:ascii="Cambria" w:eastAsia="Calibri" w:hAnsi="Cambria" w:cs="Calibri"/>
          <w:b/>
          <w:color w:val="0070C0"/>
          <w:sz w:val="32"/>
          <w:szCs w:val="32"/>
        </w:rPr>
      </w:pPr>
    </w:p>
    <w:p w:rsidR="00C43A01" w:rsidRPr="00AB758C" w:rsidRDefault="00C43A01" w:rsidP="00E905FC">
      <w:pPr>
        <w:spacing w:after="200" w:line="276" w:lineRule="auto"/>
        <w:jc w:val="both"/>
        <w:rPr>
          <w:rFonts w:ascii="Cambria" w:eastAsia="Calibri" w:hAnsi="Cambria" w:cs="Calibri"/>
          <w:b/>
          <w:color w:val="0070C0"/>
          <w:sz w:val="32"/>
          <w:szCs w:val="32"/>
        </w:rPr>
      </w:pPr>
    </w:p>
    <w:p w:rsidR="008028F8" w:rsidRDefault="008028F8">
      <w:pPr>
        <w:rPr>
          <w:rFonts w:ascii="Cambria" w:eastAsia="Calibri" w:hAnsi="Cambria" w:cs="Calibri"/>
          <w:b/>
          <w:color w:val="0070C0"/>
          <w:sz w:val="32"/>
          <w:szCs w:val="32"/>
        </w:rPr>
      </w:pPr>
    </w:p>
    <w:p w:rsidR="00463292" w:rsidRDefault="00463292">
      <w:pPr>
        <w:rPr>
          <w:rFonts w:ascii="Cambria" w:eastAsia="Calibri" w:hAnsi="Cambria" w:cs="Calibri"/>
          <w:b/>
          <w:color w:val="0070C0"/>
          <w:sz w:val="32"/>
          <w:szCs w:val="32"/>
        </w:rPr>
      </w:pPr>
    </w:p>
    <w:p w:rsidR="00463292" w:rsidRDefault="00463292">
      <w:pPr>
        <w:rPr>
          <w:rFonts w:ascii="Cambria" w:eastAsia="Calibri" w:hAnsi="Cambria" w:cs="Calibri"/>
          <w:b/>
          <w:color w:val="0070C0"/>
          <w:sz w:val="32"/>
          <w:szCs w:val="32"/>
        </w:rPr>
      </w:pPr>
    </w:p>
    <w:p w:rsidR="00463292" w:rsidRDefault="00463292">
      <w:pPr>
        <w:rPr>
          <w:rFonts w:ascii="Cambria" w:eastAsia="Calibri" w:hAnsi="Cambria" w:cs="Calibri"/>
          <w:b/>
          <w:color w:val="0070C0"/>
          <w:sz w:val="32"/>
          <w:szCs w:val="32"/>
        </w:rPr>
      </w:pPr>
    </w:p>
    <w:p w:rsidR="00463292" w:rsidRPr="00AB758C" w:rsidRDefault="00463292">
      <w:pPr>
        <w:rPr>
          <w:rFonts w:ascii="Cambria" w:hAnsi="Cambria"/>
          <w:sz w:val="24"/>
          <w:szCs w:val="24"/>
        </w:rPr>
      </w:pPr>
    </w:p>
    <w:p w:rsidR="008028F8" w:rsidRPr="00AB758C" w:rsidRDefault="008028F8">
      <w:pPr>
        <w:rPr>
          <w:rFonts w:ascii="Cambria" w:hAnsi="Cambria"/>
          <w:sz w:val="24"/>
          <w:szCs w:val="24"/>
        </w:rPr>
      </w:pPr>
    </w:p>
    <w:sdt>
      <w:sdtPr>
        <w:rPr>
          <w:rFonts w:asciiTheme="minorHAnsi" w:eastAsiaTheme="minorHAnsi" w:hAnsiTheme="minorHAnsi" w:cstheme="minorBidi"/>
          <w:color w:val="auto"/>
          <w:sz w:val="22"/>
          <w:szCs w:val="22"/>
          <w:lang w:val="hr-HR"/>
        </w:rPr>
        <w:id w:val="-1237863862"/>
        <w:docPartObj>
          <w:docPartGallery w:val="Table of Contents"/>
          <w:docPartUnique/>
        </w:docPartObj>
      </w:sdtPr>
      <w:sdtEndPr>
        <w:rPr>
          <w:b/>
          <w:bCs/>
          <w:noProof/>
        </w:rPr>
      </w:sdtEndPr>
      <w:sdtContent>
        <w:p w:rsidR="005C2B7D" w:rsidRPr="008F5BEE" w:rsidRDefault="008F5BEE">
          <w:pPr>
            <w:pStyle w:val="TOCHeading"/>
            <w:rPr>
              <w:rFonts w:ascii="Cambria" w:hAnsi="Cambria"/>
            </w:rPr>
          </w:pPr>
          <w:r w:rsidRPr="008F5BEE">
            <w:rPr>
              <w:rFonts w:ascii="Cambria" w:hAnsi="Cambria"/>
            </w:rPr>
            <w:t>SADRŽAJ</w:t>
          </w:r>
        </w:p>
        <w:p w:rsidR="008F5BEE" w:rsidRPr="008F5BEE" w:rsidRDefault="008F5BEE" w:rsidP="008F5BEE">
          <w:pPr>
            <w:rPr>
              <w:rFonts w:ascii="Cambria" w:hAnsi="Cambria"/>
              <w:lang w:val="en-US"/>
            </w:rPr>
          </w:pPr>
        </w:p>
        <w:p w:rsidR="006F3AEB" w:rsidRDefault="005C2B7D">
          <w:pPr>
            <w:pStyle w:val="TOC1"/>
            <w:tabs>
              <w:tab w:val="left" w:pos="440"/>
              <w:tab w:val="right" w:leader="dot" w:pos="9350"/>
            </w:tabs>
            <w:rPr>
              <w:rFonts w:eastAsiaTheme="minorEastAsia"/>
              <w:noProof/>
              <w:lang w:eastAsia="hr-HR"/>
            </w:rPr>
          </w:pPr>
          <w:r w:rsidRPr="008F5BEE">
            <w:rPr>
              <w:rFonts w:ascii="Cambria" w:hAnsi="Cambria"/>
              <w:b/>
              <w:bCs/>
              <w:noProof/>
              <w:color w:val="0070C0"/>
              <w:sz w:val="28"/>
              <w:szCs w:val="28"/>
            </w:rPr>
            <w:fldChar w:fldCharType="begin"/>
          </w:r>
          <w:r w:rsidRPr="008F5BEE">
            <w:rPr>
              <w:rFonts w:ascii="Cambria" w:hAnsi="Cambria"/>
              <w:b/>
              <w:bCs/>
              <w:noProof/>
              <w:color w:val="0070C0"/>
              <w:sz w:val="28"/>
              <w:szCs w:val="28"/>
            </w:rPr>
            <w:instrText xml:space="preserve"> TOC \o "1-3" \h \z \u </w:instrText>
          </w:r>
          <w:r w:rsidRPr="008F5BEE">
            <w:rPr>
              <w:rFonts w:ascii="Cambria" w:hAnsi="Cambria"/>
              <w:b/>
              <w:bCs/>
              <w:noProof/>
              <w:color w:val="0070C0"/>
              <w:sz w:val="28"/>
              <w:szCs w:val="28"/>
            </w:rPr>
            <w:fldChar w:fldCharType="separate"/>
          </w:r>
          <w:hyperlink w:anchor="_Toc176169386" w:history="1">
            <w:r w:rsidR="006F3AEB" w:rsidRPr="00196E27">
              <w:rPr>
                <w:rStyle w:val="Hyperlink"/>
                <w:b/>
                <w:noProof/>
              </w:rPr>
              <w:t>1.</w:t>
            </w:r>
            <w:r w:rsidR="006F3AEB">
              <w:rPr>
                <w:rFonts w:eastAsiaTheme="minorEastAsia"/>
                <w:noProof/>
                <w:lang w:eastAsia="hr-HR"/>
              </w:rPr>
              <w:tab/>
            </w:r>
            <w:r w:rsidR="006F3AEB" w:rsidRPr="00196E27">
              <w:rPr>
                <w:rStyle w:val="Hyperlink"/>
                <w:b/>
                <w:noProof/>
              </w:rPr>
              <w:t>PROVEDBA SAVJETOVANJA S JAVNOŠĆU U REPUBLICI HRVATSKOJ U 2023. GODINI</w:t>
            </w:r>
            <w:r w:rsidR="006F3AEB">
              <w:rPr>
                <w:noProof/>
                <w:webHidden/>
              </w:rPr>
              <w:tab/>
            </w:r>
            <w:r w:rsidR="006F3AEB">
              <w:rPr>
                <w:noProof/>
                <w:webHidden/>
              </w:rPr>
              <w:fldChar w:fldCharType="begin"/>
            </w:r>
            <w:r w:rsidR="006F3AEB">
              <w:rPr>
                <w:noProof/>
                <w:webHidden/>
              </w:rPr>
              <w:instrText xml:space="preserve"> PAGEREF _Toc176169386 \h </w:instrText>
            </w:r>
            <w:r w:rsidR="006F3AEB">
              <w:rPr>
                <w:noProof/>
                <w:webHidden/>
              </w:rPr>
            </w:r>
            <w:r w:rsidR="006F3AEB">
              <w:rPr>
                <w:noProof/>
                <w:webHidden/>
              </w:rPr>
              <w:fldChar w:fldCharType="separate"/>
            </w:r>
            <w:r w:rsidR="006F3AEB">
              <w:rPr>
                <w:noProof/>
                <w:webHidden/>
              </w:rPr>
              <w:t>3</w:t>
            </w:r>
            <w:r w:rsidR="006F3AEB">
              <w:rPr>
                <w:noProof/>
                <w:webHidden/>
              </w:rPr>
              <w:fldChar w:fldCharType="end"/>
            </w:r>
          </w:hyperlink>
        </w:p>
        <w:p w:rsidR="006F3AEB" w:rsidRDefault="006F3563">
          <w:pPr>
            <w:pStyle w:val="TOC1"/>
            <w:tabs>
              <w:tab w:val="right" w:leader="dot" w:pos="9350"/>
            </w:tabs>
            <w:rPr>
              <w:rFonts w:eastAsiaTheme="minorEastAsia"/>
              <w:noProof/>
              <w:lang w:eastAsia="hr-HR"/>
            </w:rPr>
          </w:pPr>
          <w:hyperlink w:anchor="_Toc176169387" w:history="1">
            <w:r w:rsidR="006F3AEB" w:rsidRPr="00196E27">
              <w:rPr>
                <w:rStyle w:val="Hyperlink"/>
                <w:b/>
                <w:noProof/>
              </w:rPr>
              <w:t>2. JAČANJE KAPACITETA TIJELA DRŽAVNE UPRAVE ZA PROVEDBU SAVJETOVANJA</w:t>
            </w:r>
            <w:r w:rsidR="006F3AEB">
              <w:rPr>
                <w:noProof/>
                <w:webHidden/>
              </w:rPr>
              <w:tab/>
            </w:r>
            <w:r w:rsidR="006F3AEB">
              <w:rPr>
                <w:noProof/>
                <w:webHidden/>
              </w:rPr>
              <w:fldChar w:fldCharType="begin"/>
            </w:r>
            <w:r w:rsidR="006F3AEB">
              <w:rPr>
                <w:noProof/>
                <w:webHidden/>
              </w:rPr>
              <w:instrText xml:space="preserve"> PAGEREF _Toc176169387 \h </w:instrText>
            </w:r>
            <w:r w:rsidR="006F3AEB">
              <w:rPr>
                <w:noProof/>
                <w:webHidden/>
              </w:rPr>
            </w:r>
            <w:r w:rsidR="006F3AEB">
              <w:rPr>
                <w:noProof/>
                <w:webHidden/>
              </w:rPr>
              <w:fldChar w:fldCharType="separate"/>
            </w:r>
            <w:r w:rsidR="006F3AEB">
              <w:rPr>
                <w:noProof/>
                <w:webHidden/>
              </w:rPr>
              <w:t>4</w:t>
            </w:r>
            <w:r w:rsidR="006F3AEB">
              <w:rPr>
                <w:noProof/>
                <w:webHidden/>
              </w:rPr>
              <w:fldChar w:fldCharType="end"/>
            </w:r>
          </w:hyperlink>
        </w:p>
        <w:p w:rsidR="006F3AEB" w:rsidRDefault="006F3563">
          <w:pPr>
            <w:pStyle w:val="TOC1"/>
            <w:tabs>
              <w:tab w:val="right" w:leader="dot" w:pos="9350"/>
            </w:tabs>
            <w:rPr>
              <w:rFonts w:eastAsiaTheme="minorEastAsia"/>
              <w:noProof/>
              <w:lang w:eastAsia="hr-HR"/>
            </w:rPr>
          </w:pPr>
          <w:hyperlink w:anchor="_Toc176169388" w:history="1">
            <w:r w:rsidR="006F3AEB" w:rsidRPr="00196E27">
              <w:rPr>
                <w:rStyle w:val="Hyperlink"/>
                <w:b/>
                <w:noProof/>
              </w:rPr>
              <w:t>3. ANALIZA PROVEDENIH SAVJETOVANJA U 2023.</w:t>
            </w:r>
            <w:r w:rsidR="006F3AEB">
              <w:rPr>
                <w:noProof/>
                <w:webHidden/>
              </w:rPr>
              <w:tab/>
            </w:r>
            <w:r w:rsidR="006F3AEB">
              <w:rPr>
                <w:noProof/>
                <w:webHidden/>
              </w:rPr>
              <w:fldChar w:fldCharType="begin"/>
            </w:r>
            <w:r w:rsidR="006F3AEB">
              <w:rPr>
                <w:noProof/>
                <w:webHidden/>
              </w:rPr>
              <w:instrText xml:space="preserve"> PAGEREF _Toc176169388 \h </w:instrText>
            </w:r>
            <w:r w:rsidR="006F3AEB">
              <w:rPr>
                <w:noProof/>
                <w:webHidden/>
              </w:rPr>
            </w:r>
            <w:r w:rsidR="006F3AEB">
              <w:rPr>
                <w:noProof/>
                <w:webHidden/>
              </w:rPr>
              <w:fldChar w:fldCharType="separate"/>
            </w:r>
            <w:r w:rsidR="006F3AEB">
              <w:rPr>
                <w:noProof/>
                <w:webHidden/>
              </w:rPr>
              <w:t>5</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89" w:history="1">
            <w:r w:rsidR="006F3AEB" w:rsidRPr="00196E27">
              <w:rPr>
                <w:rStyle w:val="Hyperlink"/>
                <w:noProof/>
              </w:rPr>
              <w:t>3.1. Ukupan broj provedenih savjetovanja</w:t>
            </w:r>
            <w:r w:rsidR="006F3AEB">
              <w:rPr>
                <w:noProof/>
                <w:webHidden/>
              </w:rPr>
              <w:tab/>
            </w:r>
            <w:r w:rsidR="006F3AEB">
              <w:rPr>
                <w:noProof/>
                <w:webHidden/>
              </w:rPr>
              <w:fldChar w:fldCharType="begin"/>
            </w:r>
            <w:r w:rsidR="006F3AEB">
              <w:rPr>
                <w:noProof/>
                <w:webHidden/>
              </w:rPr>
              <w:instrText xml:space="preserve"> PAGEREF _Toc176169389 \h </w:instrText>
            </w:r>
            <w:r w:rsidR="006F3AEB">
              <w:rPr>
                <w:noProof/>
                <w:webHidden/>
              </w:rPr>
            </w:r>
            <w:r w:rsidR="006F3AEB">
              <w:rPr>
                <w:noProof/>
                <w:webHidden/>
              </w:rPr>
              <w:fldChar w:fldCharType="separate"/>
            </w:r>
            <w:r w:rsidR="006F3AEB">
              <w:rPr>
                <w:noProof/>
                <w:webHidden/>
              </w:rPr>
              <w:t>5</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0" w:history="1">
            <w:r w:rsidR="006F3AEB" w:rsidRPr="00196E27">
              <w:rPr>
                <w:rStyle w:val="Hyperlink"/>
                <w:noProof/>
              </w:rPr>
              <w:t>3.2. Sastav radnih skupina</w:t>
            </w:r>
            <w:r w:rsidR="006F3AEB">
              <w:rPr>
                <w:noProof/>
                <w:webHidden/>
              </w:rPr>
              <w:tab/>
            </w:r>
            <w:r w:rsidR="006F3AEB">
              <w:rPr>
                <w:noProof/>
                <w:webHidden/>
              </w:rPr>
              <w:fldChar w:fldCharType="begin"/>
            </w:r>
            <w:r w:rsidR="006F3AEB">
              <w:rPr>
                <w:noProof/>
                <w:webHidden/>
              </w:rPr>
              <w:instrText xml:space="preserve"> PAGEREF _Toc176169390 \h </w:instrText>
            </w:r>
            <w:r w:rsidR="006F3AEB">
              <w:rPr>
                <w:noProof/>
                <w:webHidden/>
              </w:rPr>
            </w:r>
            <w:r w:rsidR="006F3AEB">
              <w:rPr>
                <w:noProof/>
                <w:webHidden/>
              </w:rPr>
              <w:fldChar w:fldCharType="separate"/>
            </w:r>
            <w:r w:rsidR="006F3AEB">
              <w:rPr>
                <w:noProof/>
                <w:webHidden/>
              </w:rPr>
              <w:t>9</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1" w:history="1">
            <w:r w:rsidR="006F3AEB" w:rsidRPr="00196E27">
              <w:rPr>
                <w:rStyle w:val="Hyperlink"/>
                <w:noProof/>
              </w:rPr>
              <w:t>3.3. Metode savjetovanja</w:t>
            </w:r>
            <w:r w:rsidR="006F3AEB">
              <w:rPr>
                <w:noProof/>
                <w:webHidden/>
              </w:rPr>
              <w:tab/>
            </w:r>
            <w:r w:rsidR="006F3AEB">
              <w:rPr>
                <w:noProof/>
                <w:webHidden/>
              </w:rPr>
              <w:fldChar w:fldCharType="begin"/>
            </w:r>
            <w:r w:rsidR="006F3AEB">
              <w:rPr>
                <w:noProof/>
                <w:webHidden/>
              </w:rPr>
              <w:instrText xml:space="preserve"> PAGEREF _Toc176169391 \h </w:instrText>
            </w:r>
            <w:r w:rsidR="006F3AEB">
              <w:rPr>
                <w:noProof/>
                <w:webHidden/>
              </w:rPr>
            </w:r>
            <w:r w:rsidR="006F3AEB">
              <w:rPr>
                <w:noProof/>
                <w:webHidden/>
              </w:rPr>
              <w:fldChar w:fldCharType="separate"/>
            </w:r>
            <w:r w:rsidR="006F3AEB">
              <w:rPr>
                <w:noProof/>
                <w:webHidden/>
              </w:rPr>
              <w:t>10</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2" w:history="1">
            <w:r w:rsidR="006F3AEB" w:rsidRPr="00196E27">
              <w:rPr>
                <w:rStyle w:val="Hyperlink"/>
                <w:noProof/>
              </w:rPr>
              <w:t>3.4. Trajanje savjetovanja</w:t>
            </w:r>
            <w:r w:rsidR="006F3AEB">
              <w:rPr>
                <w:noProof/>
                <w:webHidden/>
              </w:rPr>
              <w:tab/>
            </w:r>
            <w:r w:rsidR="006F3AEB">
              <w:rPr>
                <w:noProof/>
                <w:webHidden/>
              </w:rPr>
              <w:fldChar w:fldCharType="begin"/>
            </w:r>
            <w:r w:rsidR="006F3AEB">
              <w:rPr>
                <w:noProof/>
                <w:webHidden/>
              </w:rPr>
              <w:instrText xml:space="preserve"> PAGEREF _Toc176169392 \h </w:instrText>
            </w:r>
            <w:r w:rsidR="006F3AEB">
              <w:rPr>
                <w:noProof/>
                <w:webHidden/>
              </w:rPr>
            </w:r>
            <w:r w:rsidR="006F3AEB">
              <w:rPr>
                <w:noProof/>
                <w:webHidden/>
              </w:rPr>
              <w:fldChar w:fldCharType="separate"/>
            </w:r>
            <w:r w:rsidR="006F3AEB">
              <w:rPr>
                <w:noProof/>
                <w:webHidden/>
              </w:rPr>
              <w:t>11</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3" w:history="1">
            <w:r w:rsidR="006F3AEB" w:rsidRPr="00196E27">
              <w:rPr>
                <w:rStyle w:val="Hyperlink"/>
                <w:noProof/>
              </w:rPr>
              <w:t>3.5. Podnositelji komentara</w:t>
            </w:r>
            <w:r w:rsidR="006F3AEB">
              <w:rPr>
                <w:noProof/>
                <w:webHidden/>
              </w:rPr>
              <w:tab/>
            </w:r>
            <w:r w:rsidR="006F3AEB">
              <w:rPr>
                <w:noProof/>
                <w:webHidden/>
              </w:rPr>
              <w:fldChar w:fldCharType="begin"/>
            </w:r>
            <w:r w:rsidR="006F3AEB">
              <w:rPr>
                <w:noProof/>
                <w:webHidden/>
              </w:rPr>
              <w:instrText xml:space="preserve"> PAGEREF _Toc176169393 \h </w:instrText>
            </w:r>
            <w:r w:rsidR="006F3AEB">
              <w:rPr>
                <w:noProof/>
                <w:webHidden/>
              </w:rPr>
            </w:r>
            <w:r w:rsidR="006F3AEB">
              <w:rPr>
                <w:noProof/>
                <w:webHidden/>
              </w:rPr>
              <w:fldChar w:fldCharType="separate"/>
            </w:r>
            <w:r w:rsidR="006F3AEB">
              <w:rPr>
                <w:noProof/>
                <w:webHidden/>
              </w:rPr>
              <w:t>13</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4" w:history="1">
            <w:r w:rsidR="006F3AEB" w:rsidRPr="00196E27">
              <w:rPr>
                <w:rStyle w:val="Hyperlink"/>
                <w:noProof/>
              </w:rPr>
              <w:t>3.6. Broj pristiglih komentara</w:t>
            </w:r>
            <w:r w:rsidR="006F3AEB">
              <w:rPr>
                <w:noProof/>
                <w:webHidden/>
              </w:rPr>
              <w:tab/>
            </w:r>
            <w:r w:rsidR="006F3AEB">
              <w:rPr>
                <w:noProof/>
                <w:webHidden/>
              </w:rPr>
              <w:fldChar w:fldCharType="begin"/>
            </w:r>
            <w:r w:rsidR="006F3AEB">
              <w:rPr>
                <w:noProof/>
                <w:webHidden/>
              </w:rPr>
              <w:instrText xml:space="preserve"> PAGEREF _Toc176169394 \h </w:instrText>
            </w:r>
            <w:r w:rsidR="006F3AEB">
              <w:rPr>
                <w:noProof/>
                <w:webHidden/>
              </w:rPr>
            </w:r>
            <w:r w:rsidR="006F3AEB">
              <w:rPr>
                <w:noProof/>
                <w:webHidden/>
              </w:rPr>
              <w:fldChar w:fldCharType="separate"/>
            </w:r>
            <w:r w:rsidR="006F3AEB">
              <w:rPr>
                <w:noProof/>
                <w:webHidden/>
              </w:rPr>
              <w:t>15</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5" w:history="1">
            <w:r w:rsidR="006F3AEB" w:rsidRPr="00196E27">
              <w:rPr>
                <w:rStyle w:val="Hyperlink"/>
                <w:noProof/>
              </w:rPr>
              <w:t>3.7. Izvješće o provedenom savjetovanju</w:t>
            </w:r>
            <w:r w:rsidR="006F3AEB">
              <w:rPr>
                <w:noProof/>
                <w:webHidden/>
              </w:rPr>
              <w:tab/>
            </w:r>
            <w:r w:rsidR="006F3AEB">
              <w:rPr>
                <w:noProof/>
                <w:webHidden/>
              </w:rPr>
              <w:fldChar w:fldCharType="begin"/>
            </w:r>
            <w:r w:rsidR="006F3AEB">
              <w:rPr>
                <w:noProof/>
                <w:webHidden/>
              </w:rPr>
              <w:instrText xml:space="preserve"> PAGEREF _Toc176169395 \h </w:instrText>
            </w:r>
            <w:r w:rsidR="006F3AEB">
              <w:rPr>
                <w:noProof/>
                <w:webHidden/>
              </w:rPr>
            </w:r>
            <w:r w:rsidR="006F3AEB">
              <w:rPr>
                <w:noProof/>
                <w:webHidden/>
              </w:rPr>
              <w:fldChar w:fldCharType="separate"/>
            </w:r>
            <w:r w:rsidR="006F3AEB">
              <w:rPr>
                <w:noProof/>
                <w:webHidden/>
              </w:rPr>
              <w:t>16</w:t>
            </w:r>
            <w:r w:rsidR="006F3AEB">
              <w:rPr>
                <w:noProof/>
                <w:webHidden/>
              </w:rPr>
              <w:fldChar w:fldCharType="end"/>
            </w:r>
          </w:hyperlink>
        </w:p>
        <w:p w:rsidR="006F3AEB" w:rsidRDefault="006F3563">
          <w:pPr>
            <w:pStyle w:val="TOC1"/>
            <w:tabs>
              <w:tab w:val="right" w:leader="dot" w:pos="9350"/>
            </w:tabs>
            <w:rPr>
              <w:rFonts w:eastAsiaTheme="minorEastAsia"/>
              <w:noProof/>
              <w:lang w:eastAsia="hr-HR"/>
            </w:rPr>
          </w:pPr>
          <w:hyperlink w:anchor="_Toc176169396" w:history="1">
            <w:r w:rsidR="006F3AEB" w:rsidRPr="00196E27">
              <w:rPr>
                <w:rStyle w:val="Hyperlink"/>
                <w:b/>
                <w:noProof/>
              </w:rPr>
              <w:t>4. DALJNJI RAZVOJ SAVJETOVANJA S JAVNOŠĆU U 2024. GODINI</w:t>
            </w:r>
            <w:r w:rsidR="006F3AEB">
              <w:rPr>
                <w:noProof/>
                <w:webHidden/>
              </w:rPr>
              <w:tab/>
            </w:r>
            <w:r w:rsidR="006F3AEB">
              <w:rPr>
                <w:noProof/>
                <w:webHidden/>
              </w:rPr>
              <w:fldChar w:fldCharType="begin"/>
            </w:r>
            <w:r w:rsidR="006F3AEB">
              <w:rPr>
                <w:noProof/>
                <w:webHidden/>
              </w:rPr>
              <w:instrText xml:space="preserve"> PAGEREF _Toc176169396 \h </w:instrText>
            </w:r>
            <w:r w:rsidR="006F3AEB">
              <w:rPr>
                <w:noProof/>
                <w:webHidden/>
              </w:rPr>
            </w:r>
            <w:r w:rsidR="006F3AEB">
              <w:rPr>
                <w:noProof/>
                <w:webHidden/>
              </w:rPr>
              <w:fldChar w:fldCharType="separate"/>
            </w:r>
            <w:r w:rsidR="006F3AEB">
              <w:rPr>
                <w:noProof/>
                <w:webHidden/>
              </w:rPr>
              <w:t>17</w:t>
            </w:r>
            <w:r w:rsidR="006F3AEB">
              <w:rPr>
                <w:noProof/>
                <w:webHidden/>
              </w:rPr>
              <w:fldChar w:fldCharType="end"/>
            </w:r>
          </w:hyperlink>
        </w:p>
        <w:p w:rsidR="006F3AEB" w:rsidRDefault="006F3563">
          <w:pPr>
            <w:pStyle w:val="TOC2"/>
            <w:tabs>
              <w:tab w:val="right" w:leader="dot" w:pos="9350"/>
            </w:tabs>
            <w:rPr>
              <w:rFonts w:eastAsiaTheme="minorEastAsia"/>
              <w:noProof/>
              <w:lang w:eastAsia="hr-HR"/>
            </w:rPr>
          </w:pPr>
          <w:hyperlink w:anchor="_Toc176169397" w:history="1">
            <w:r w:rsidR="006F3AEB" w:rsidRPr="00196E27">
              <w:rPr>
                <w:rStyle w:val="Hyperlink"/>
                <w:noProof/>
              </w:rPr>
              <w:t>Prilog 1.: Pregled provedenih savjetovanja o nacrtima zakona, drugih propisa i akata prema tijelima državne uprave, državnim tijelima i drugim pravnim osobama s javnim ovlastima koja su u 2023. provodila svoja savjetovanja putem portala e-Savjetovanja</w:t>
            </w:r>
            <w:r w:rsidR="006F3AEB">
              <w:rPr>
                <w:noProof/>
                <w:webHidden/>
              </w:rPr>
              <w:tab/>
            </w:r>
            <w:r w:rsidR="006F3AEB">
              <w:rPr>
                <w:noProof/>
                <w:webHidden/>
              </w:rPr>
              <w:fldChar w:fldCharType="begin"/>
            </w:r>
            <w:r w:rsidR="006F3AEB">
              <w:rPr>
                <w:noProof/>
                <w:webHidden/>
              </w:rPr>
              <w:instrText xml:space="preserve"> PAGEREF _Toc176169397 \h </w:instrText>
            </w:r>
            <w:r w:rsidR="006F3AEB">
              <w:rPr>
                <w:noProof/>
                <w:webHidden/>
              </w:rPr>
            </w:r>
            <w:r w:rsidR="006F3AEB">
              <w:rPr>
                <w:noProof/>
                <w:webHidden/>
              </w:rPr>
              <w:fldChar w:fldCharType="separate"/>
            </w:r>
            <w:r w:rsidR="006F3AEB">
              <w:rPr>
                <w:noProof/>
                <w:webHidden/>
              </w:rPr>
              <w:t>19</w:t>
            </w:r>
            <w:r w:rsidR="006F3AEB">
              <w:rPr>
                <w:noProof/>
                <w:webHidden/>
              </w:rPr>
              <w:fldChar w:fldCharType="end"/>
            </w:r>
          </w:hyperlink>
        </w:p>
        <w:p w:rsidR="005C2B7D" w:rsidRDefault="005C2B7D">
          <w:r w:rsidRPr="008F5BEE">
            <w:rPr>
              <w:rFonts w:ascii="Cambria" w:hAnsi="Cambria"/>
              <w:b/>
              <w:bCs/>
              <w:noProof/>
              <w:color w:val="0070C0"/>
              <w:sz w:val="28"/>
              <w:szCs w:val="28"/>
            </w:rPr>
            <w:fldChar w:fldCharType="end"/>
          </w:r>
        </w:p>
      </w:sdtContent>
    </w:sdt>
    <w:p w:rsidR="008028F8" w:rsidRPr="00AB758C" w:rsidRDefault="008028F8">
      <w:pPr>
        <w:rPr>
          <w:rFonts w:ascii="Cambria" w:hAnsi="Cambria"/>
          <w:sz w:val="24"/>
          <w:szCs w:val="24"/>
        </w:rPr>
      </w:pPr>
    </w:p>
    <w:p w:rsidR="008028F8" w:rsidRPr="00AB758C" w:rsidRDefault="008028F8">
      <w:pPr>
        <w:rPr>
          <w:rFonts w:ascii="Cambria" w:hAnsi="Cambria"/>
          <w:sz w:val="24"/>
          <w:szCs w:val="24"/>
        </w:rPr>
      </w:pPr>
    </w:p>
    <w:p w:rsidR="008028F8" w:rsidRDefault="008028F8">
      <w:pPr>
        <w:rPr>
          <w:rFonts w:ascii="Cambria" w:hAnsi="Cambria"/>
          <w:sz w:val="24"/>
          <w:szCs w:val="24"/>
        </w:rPr>
      </w:pPr>
    </w:p>
    <w:p w:rsidR="009353A9" w:rsidRPr="00AB758C" w:rsidRDefault="009353A9">
      <w:pPr>
        <w:rPr>
          <w:rFonts w:ascii="Cambria" w:hAnsi="Cambria"/>
          <w:sz w:val="24"/>
          <w:szCs w:val="24"/>
        </w:rPr>
      </w:pPr>
    </w:p>
    <w:p w:rsidR="008028F8" w:rsidRDefault="008028F8">
      <w:pPr>
        <w:rPr>
          <w:rFonts w:ascii="Cambria" w:hAnsi="Cambria"/>
          <w:sz w:val="24"/>
          <w:szCs w:val="24"/>
        </w:rPr>
      </w:pPr>
    </w:p>
    <w:p w:rsidR="00463292" w:rsidRDefault="00463292">
      <w:pPr>
        <w:rPr>
          <w:rFonts w:ascii="Cambria" w:hAnsi="Cambria"/>
          <w:sz w:val="24"/>
          <w:szCs w:val="24"/>
        </w:rPr>
      </w:pPr>
    </w:p>
    <w:p w:rsidR="00463292" w:rsidRDefault="00463292">
      <w:pPr>
        <w:rPr>
          <w:rFonts w:ascii="Cambria" w:hAnsi="Cambria"/>
          <w:sz w:val="24"/>
          <w:szCs w:val="24"/>
        </w:rPr>
      </w:pPr>
    </w:p>
    <w:p w:rsidR="00F4175F" w:rsidRPr="00AB758C" w:rsidRDefault="00F4175F">
      <w:pPr>
        <w:rPr>
          <w:rFonts w:ascii="Cambria" w:hAnsi="Cambria"/>
          <w:sz w:val="24"/>
          <w:szCs w:val="24"/>
        </w:rPr>
      </w:pPr>
    </w:p>
    <w:p w:rsidR="008028F8" w:rsidRDefault="008028F8">
      <w:pPr>
        <w:rPr>
          <w:rFonts w:ascii="Cambria" w:hAnsi="Cambria"/>
          <w:sz w:val="24"/>
          <w:szCs w:val="24"/>
        </w:rPr>
      </w:pPr>
    </w:p>
    <w:p w:rsidR="00C227B0" w:rsidRDefault="00C227B0">
      <w:pPr>
        <w:rPr>
          <w:rFonts w:ascii="Cambria" w:hAnsi="Cambria"/>
          <w:sz w:val="24"/>
          <w:szCs w:val="24"/>
        </w:rPr>
      </w:pPr>
    </w:p>
    <w:p w:rsidR="00C227B0" w:rsidRDefault="00C227B0">
      <w:pPr>
        <w:rPr>
          <w:rFonts w:ascii="Cambria" w:hAnsi="Cambria"/>
          <w:sz w:val="24"/>
          <w:szCs w:val="24"/>
        </w:rPr>
      </w:pPr>
    </w:p>
    <w:p w:rsidR="000B4AB7" w:rsidRDefault="000B4AB7">
      <w:pPr>
        <w:rPr>
          <w:rFonts w:ascii="Cambria" w:hAnsi="Cambria"/>
          <w:sz w:val="24"/>
          <w:szCs w:val="24"/>
        </w:rPr>
      </w:pPr>
    </w:p>
    <w:p w:rsidR="008028F8" w:rsidRDefault="0083365D" w:rsidP="00AF6922">
      <w:pPr>
        <w:pStyle w:val="Heading1"/>
        <w:numPr>
          <w:ilvl w:val="0"/>
          <w:numId w:val="2"/>
        </w:numPr>
        <w:rPr>
          <w:b/>
        </w:rPr>
      </w:pPr>
      <w:bookmarkStart w:id="5" w:name="_Toc176169386"/>
      <w:r w:rsidRPr="00F4175F">
        <w:rPr>
          <w:b/>
        </w:rPr>
        <w:lastRenderedPageBreak/>
        <w:t>PROVEDBA SAVJETOVANJA S JAVNOŠĆU U REPUBLICI HRVATSKOJ</w:t>
      </w:r>
      <w:r w:rsidR="00DB7250">
        <w:rPr>
          <w:b/>
        </w:rPr>
        <w:t xml:space="preserve"> U 202</w:t>
      </w:r>
      <w:r w:rsidR="00457769">
        <w:rPr>
          <w:b/>
        </w:rPr>
        <w:t>3</w:t>
      </w:r>
      <w:r w:rsidR="00DB7250">
        <w:rPr>
          <w:b/>
        </w:rPr>
        <w:t>. GODINI</w:t>
      </w:r>
      <w:bookmarkEnd w:id="5"/>
    </w:p>
    <w:p w:rsidR="00DF50CC" w:rsidRPr="00DF50CC" w:rsidRDefault="00DF50CC" w:rsidP="00DF50CC"/>
    <w:p w:rsidR="00DF50CC" w:rsidRPr="002B123B" w:rsidRDefault="009F751B" w:rsidP="00DF50CC">
      <w:pPr>
        <w:jc w:val="both"/>
        <w:rPr>
          <w:rFonts w:ascii="Cambria" w:hAnsi="Cambria"/>
          <w:sz w:val="24"/>
          <w:szCs w:val="24"/>
        </w:rPr>
      </w:pPr>
      <w:bookmarkStart w:id="6" w:name="_Hlk169771935"/>
      <w:r>
        <w:rPr>
          <w:rFonts w:ascii="Cambria" w:hAnsi="Cambria"/>
          <w:sz w:val="24"/>
          <w:szCs w:val="24"/>
        </w:rPr>
        <w:t xml:space="preserve">Godišnje izvješće </w:t>
      </w:r>
      <w:r w:rsidR="00020BC1" w:rsidRPr="00020BC1">
        <w:rPr>
          <w:rFonts w:ascii="Cambria" w:hAnsi="Cambria"/>
          <w:sz w:val="24"/>
          <w:szCs w:val="24"/>
        </w:rPr>
        <w:t>o provedbi savjetovanja s javnošću u postupcima donošenja zakona i drugih propisa za 2023. godinu</w:t>
      </w:r>
      <w:r w:rsidR="00DF50CC" w:rsidRPr="002B123B">
        <w:rPr>
          <w:rFonts w:ascii="Cambria" w:hAnsi="Cambria"/>
          <w:sz w:val="24"/>
          <w:szCs w:val="24"/>
        </w:rPr>
        <w:t xml:space="preserve"> izrađuje se sukladno </w:t>
      </w:r>
      <w:r w:rsidR="002F77C5">
        <w:rPr>
          <w:rFonts w:ascii="Cambria" w:hAnsi="Cambria"/>
          <w:sz w:val="24"/>
          <w:szCs w:val="24"/>
        </w:rPr>
        <w:t xml:space="preserve">članku 30. Zakona o instrumentima politike boljih propisa </w:t>
      </w:r>
      <w:r w:rsidR="002F77C5" w:rsidRPr="002B123B">
        <w:rPr>
          <w:rFonts w:ascii="Cambria" w:hAnsi="Cambria"/>
          <w:sz w:val="24"/>
          <w:szCs w:val="24"/>
        </w:rPr>
        <w:t>(„Narodne novine“, broj 155/23)</w:t>
      </w:r>
      <w:r w:rsidR="002F77C5">
        <w:rPr>
          <w:rFonts w:ascii="Cambria" w:hAnsi="Cambria"/>
          <w:sz w:val="24"/>
          <w:szCs w:val="24"/>
        </w:rPr>
        <w:t>.</w:t>
      </w:r>
    </w:p>
    <w:p w:rsidR="00485592" w:rsidRDefault="00DF50CC" w:rsidP="00DF50CC">
      <w:pPr>
        <w:jc w:val="both"/>
        <w:rPr>
          <w:rFonts w:ascii="Cambria" w:hAnsi="Cambria"/>
          <w:sz w:val="24"/>
          <w:szCs w:val="24"/>
        </w:rPr>
      </w:pPr>
      <w:bookmarkStart w:id="7" w:name="_Hlk169771956"/>
      <w:bookmarkEnd w:id="6"/>
      <w:r w:rsidRPr="002B123B">
        <w:rPr>
          <w:rFonts w:ascii="Cambria" w:hAnsi="Cambria"/>
          <w:sz w:val="24"/>
          <w:szCs w:val="24"/>
        </w:rPr>
        <w:t xml:space="preserve">Savjetovanja s javnošću provode se sukladno Zakonu o pravu na pristup informacijama („Narodne novine“, broj 25/13, 85/15 i 69/22), </w:t>
      </w:r>
      <w:r w:rsidR="008A58CB">
        <w:rPr>
          <w:rFonts w:ascii="Cambria" w:hAnsi="Cambria"/>
          <w:sz w:val="24"/>
          <w:szCs w:val="24"/>
        </w:rPr>
        <w:t>Zakonu o instrumentima politike boljih propisa</w:t>
      </w:r>
      <w:r w:rsidRPr="002B123B">
        <w:rPr>
          <w:rFonts w:ascii="Cambria" w:hAnsi="Cambria"/>
          <w:sz w:val="24"/>
          <w:szCs w:val="24"/>
        </w:rPr>
        <w:t xml:space="preserve">, </w:t>
      </w:r>
      <w:r w:rsidR="008A58CB" w:rsidRPr="002B123B">
        <w:rPr>
          <w:rFonts w:ascii="Cambria" w:hAnsi="Cambria"/>
          <w:sz w:val="24"/>
          <w:szCs w:val="24"/>
        </w:rPr>
        <w:t>Uredb</w:t>
      </w:r>
      <w:r w:rsidR="008A58CB">
        <w:rPr>
          <w:rFonts w:ascii="Cambria" w:hAnsi="Cambria"/>
          <w:sz w:val="24"/>
          <w:szCs w:val="24"/>
        </w:rPr>
        <w:t>i</w:t>
      </w:r>
      <w:r w:rsidR="008A58CB" w:rsidRPr="002B123B">
        <w:rPr>
          <w:rFonts w:ascii="Cambria" w:hAnsi="Cambria"/>
          <w:sz w:val="24"/>
          <w:szCs w:val="24"/>
        </w:rPr>
        <w:t xml:space="preserve"> o metodologiji i postupku provedbe instrumenata politike boljih propisa („Narodne novine“, broj 19/24)</w:t>
      </w:r>
      <w:r w:rsidR="008A58CB">
        <w:rPr>
          <w:rFonts w:ascii="Cambria" w:hAnsi="Cambria"/>
          <w:sz w:val="24"/>
          <w:szCs w:val="24"/>
        </w:rPr>
        <w:t>,</w:t>
      </w:r>
      <w:r w:rsidR="008A58CB" w:rsidRPr="002B123B">
        <w:rPr>
          <w:rFonts w:ascii="Cambria" w:hAnsi="Cambria"/>
          <w:sz w:val="24"/>
          <w:szCs w:val="24"/>
        </w:rPr>
        <w:t xml:space="preserve"> </w:t>
      </w:r>
      <w:r w:rsidRPr="002B123B">
        <w:rPr>
          <w:rFonts w:ascii="Cambria" w:hAnsi="Cambria"/>
          <w:sz w:val="24"/>
          <w:szCs w:val="24"/>
        </w:rPr>
        <w:t xml:space="preserve">Poslovniku Vlade Republike Hrvatske („Narodne novine“, broj 154/11, 121/12, 07/13, 61/15, 99/16, 57/17 , 87/19 i 88/20) te Kodeksu savjetovanja sa zainteresiranom javnošću u postupcima donošenja zakona, drugih propisa i akata. </w:t>
      </w:r>
    </w:p>
    <w:bookmarkEnd w:id="7"/>
    <w:p w:rsidR="00457769" w:rsidRDefault="002B123B" w:rsidP="00457769">
      <w:pPr>
        <w:jc w:val="both"/>
        <w:rPr>
          <w:rFonts w:ascii="Cambria" w:hAnsi="Cambria"/>
          <w:sz w:val="24"/>
          <w:szCs w:val="24"/>
        </w:rPr>
      </w:pPr>
      <w:r>
        <w:rPr>
          <w:rFonts w:ascii="Cambria" w:hAnsi="Cambria"/>
          <w:sz w:val="24"/>
          <w:szCs w:val="24"/>
        </w:rPr>
        <w:t>Krajem 2023. godine uspostavljen je n</w:t>
      </w:r>
      <w:r w:rsidRPr="002B123B">
        <w:rPr>
          <w:rFonts w:ascii="Cambria" w:hAnsi="Cambria"/>
          <w:sz w:val="24"/>
          <w:szCs w:val="24"/>
        </w:rPr>
        <w:t xml:space="preserve">ovi zakonodavni okvir o instrumentima politike boljih propisa </w:t>
      </w:r>
      <w:r>
        <w:rPr>
          <w:rFonts w:ascii="Cambria" w:hAnsi="Cambria"/>
          <w:sz w:val="24"/>
          <w:szCs w:val="24"/>
        </w:rPr>
        <w:t>putem donošenja</w:t>
      </w:r>
      <w:r w:rsidRPr="002B123B">
        <w:rPr>
          <w:rFonts w:ascii="Cambria" w:hAnsi="Cambria"/>
          <w:sz w:val="24"/>
          <w:szCs w:val="24"/>
        </w:rPr>
        <w:t xml:space="preserve"> Zakon</w:t>
      </w:r>
      <w:r>
        <w:rPr>
          <w:rFonts w:ascii="Cambria" w:hAnsi="Cambria"/>
          <w:sz w:val="24"/>
          <w:szCs w:val="24"/>
        </w:rPr>
        <w:t>a</w:t>
      </w:r>
      <w:r w:rsidRPr="002B123B">
        <w:rPr>
          <w:rFonts w:ascii="Cambria" w:hAnsi="Cambria"/>
          <w:sz w:val="24"/>
          <w:szCs w:val="24"/>
        </w:rPr>
        <w:t xml:space="preserve"> o instrumentima politike boljih propisa kojim se unapr</w:t>
      </w:r>
      <w:r w:rsidR="002F77C5">
        <w:rPr>
          <w:rFonts w:ascii="Cambria" w:hAnsi="Cambria"/>
          <w:sz w:val="24"/>
          <w:szCs w:val="24"/>
        </w:rPr>
        <w:t>j</w:t>
      </w:r>
      <w:r w:rsidRPr="002B123B">
        <w:rPr>
          <w:rFonts w:ascii="Cambria" w:hAnsi="Cambria"/>
          <w:sz w:val="24"/>
          <w:szCs w:val="24"/>
        </w:rPr>
        <w:t xml:space="preserve">eđuju instrumenti politike boljih propisa: planiranje zakonodavnih aktivnosti, procjena učinaka propisa, vrednovanje propisa i savjetovanje s javnošću. Uz Zakon, Uredbom o metodologiji i postupku provedbe instrumenata politike boljih </w:t>
      </w:r>
      <w:r w:rsidR="005760C4">
        <w:rPr>
          <w:rFonts w:ascii="Cambria" w:hAnsi="Cambria"/>
          <w:sz w:val="24"/>
          <w:szCs w:val="24"/>
        </w:rPr>
        <w:t xml:space="preserve">propisa </w:t>
      </w:r>
      <w:r w:rsidRPr="002B123B">
        <w:rPr>
          <w:rFonts w:ascii="Cambria" w:hAnsi="Cambria"/>
          <w:sz w:val="24"/>
          <w:szCs w:val="24"/>
        </w:rPr>
        <w:t xml:space="preserve">na cjelovit način uređuju se planiranje zakonodavnih aktivnosti, procjena učinaka i vrednovanje propisa te savjetovanje s javnošću, zajedno s metodologijom, pripadajućim obrascima te administrativni kapaciteti za njihovu provedbu. </w:t>
      </w:r>
    </w:p>
    <w:p w:rsidR="00457769" w:rsidRDefault="00457769" w:rsidP="00457769">
      <w:pPr>
        <w:jc w:val="both"/>
        <w:rPr>
          <w:rFonts w:ascii="Cambria" w:hAnsi="Cambria"/>
          <w:sz w:val="24"/>
          <w:szCs w:val="24"/>
        </w:rPr>
      </w:pPr>
      <w:r w:rsidRPr="00457769">
        <w:rPr>
          <w:rFonts w:ascii="Cambria" w:hAnsi="Cambria"/>
          <w:sz w:val="24"/>
          <w:szCs w:val="24"/>
        </w:rPr>
        <w:t>Novi Zakon o instrumentima politike boljih propisa</w:t>
      </w:r>
      <w:r w:rsidR="005068B8">
        <w:rPr>
          <w:rFonts w:ascii="Cambria" w:hAnsi="Cambria"/>
          <w:sz w:val="24"/>
          <w:szCs w:val="24"/>
        </w:rPr>
        <w:t>, koji je stupio na snagu 1. siječnja 2024. godine,</w:t>
      </w:r>
      <w:r w:rsidRPr="00457769">
        <w:rPr>
          <w:rFonts w:ascii="Cambria" w:hAnsi="Cambria"/>
          <w:sz w:val="24"/>
          <w:szCs w:val="24"/>
        </w:rPr>
        <w:t xml:space="preserve"> dodatno jača razvijene standarde u procesu javnog savjetovanja. Pobliže </w:t>
      </w:r>
      <w:r w:rsidR="008A58CB">
        <w:rPr>
          <w:rFonts w:ascii="Cambria" w:hAnsi="Cambria"/>
          <w:sz w:val="24"/>
          <w:szCs w:val="24"/>
        </w:rPr>
        <w:t>se razrađuje</w:t>
      </w:r>
      <w:r w:rsidRPr="00457769">
        <w:rPr>
          <w:rFonts w:ascii="Cambria" w:hAnsi="Cambria"/>
          <w:sz w:val="24"/>
          <w:szCs w:val="24"/>
        </w:rPr>
        <w:t xml:space="preserve"> postupak savjetovanja s javnošću koji provode tijela državne uprave i </w:t>
      </w:r>
      <w:r w:rsidR="005760C4">
        <w:rPr>
          <w:rFonts w:ascii="Cambria" w:hAnsi="Cambria"/>
          <w:sz w:val="24"/>
          <w:szCs w:val="24"/>
        </w:rPr>
        <w:t>drugi obveznici</w:t>
      </w:r>
      <w:r w:rsidRPr="00457769">
        <w:rPr>
          <w:rFonts w:ascii="Cambria" w:hAnsi="Cambria"/>
          <w:sz w:val="24"/>
          <w:szCs w:val="24"/>
        </w:rPr>
        <w:t xml:space="preserve"> za provedbu savjetovanja s javnošću pri izradi zakona i drugih propisa iz svoje nadležnosti.</w:t>
      </w:r>
      <w:r>
        <w:rPr>
          <w:rFonts w:ascii="Cambria" w:hAnsi="Cambria"/>
          <w:sz w:val="24"/>
          <w:szCs w:val="24"/>
        </w:rPr>
        <w:t xml:space="preserve"> </w:t>
      </w:r>
      <w:r w:rsidRPr="00457769">
        <w:rPr>
          <w:rFonts w:ascii="Cambria" w:hAnsi="Cambria"/>
          <w:sz w:val="24"/>
          <w:szCs w:val="24"/>
        </w:rPr>
        <w:t>Za nacrte prijedloga zakona predviđeno je savjetovanje s javnošću u trajanju u pravilu od 30 dana što je istovjetno s rokom iz Zakona o pravu na pristup informacijama. S obzirom na utvrđenu praksu tijekom praćenja postupaka provedbe savjetovanja s javnošću na jasan način konkretiziraju se izuzeća od savjetovanja s javnošću, utemeljeno na sudskoj praksi i praksi provedbe savjetovanja s javnošću sukladno zakonu koji propisuje pravo na pristup informacijama. Iznimke od obveze provođenja postupka savjetovanja predviđene su samo kod donošenja određenih vrsta propisa, na koje se zbog svoje prirode ili razloga za donošenje ne može utjecati.</w:t>
      </w:r>
    </w:p>
    <w:p w:rsidR="00DF50CC" w:rsidRPr="008A58CB" w:rsidRDefault="008A58CB" w:rsidP="00DF50CC">
      <w:pPr>
        <w:jc w:val="both"/>
        <w:rPr>
          <w:rFonts w:ascii="Cambria" w:hAnsi="Cambria"/>
          <w:sz w:val="24"/>
          <w:szCs w:val="24"/>
        </w:rPr>
      </w:pPr>
      <w:r w:rsidRPr="008A58CB">
        <w:rPr>
          <w:rFonts w:ascii="Cambria" w:hAnsi="Cambria"/>
          <w:sz w:val="24"/>
          <w:szCs w:val="24"/>
        </w:rPr>
        <w:t>Sukladno zakonskoj obvezi, t</w:t>
      </w:r>
      <w:r w:rsidR="00DF50CC" w:rsidRPr="008A58CB">
        <w:rPr>
          <w:rFonts w:ascii="Cambria" w:hAnsi="Cambria"/>
          <w:sz w:val="24"/>
          <w:szCs w:val="24"/>
        </w:rPr>
        <w:t xml:space="preserve">ijela državne uprave obvezna su provoditi savjetovanja putem Središnjeg portala za savjetovanja s javnošću „e-Savjetovanja“, pri čemu su podaci o provedenim savjetovanjima putem portala dostupni u njegovoj statistici. </w:t>
      </w:r>
    </w:p>
    <w:p w:rsidR="008C4D21" w:rsidRPr="002B123B" w:rsidRDefault="008C4D21" w:rsidP="00485592">
      <w:pPr>
        <w:jc w:val="both"/>
        <w:rPr>
          <w:rFonts w:ascii="Cambria" w:hAnsi="Cambria"/>
          <w:sz w:val="24"/>
          <w:szCs w:val="24"/>
        </w:rPr>
      </w:pPr>
      <w:r w:rsidRPr="008C4D21">
        <w:rPr>
          <w:rFonts w:ascii="Cambria" w:hAnsi="Cambria"/>
          <w:sz w:val="24"/>
          <w:szCs w:val="24"/>
        </w:rPr>
        <w:t>Od svog kreiranja 2015. godine, kontinuirano raste posjećenost i aktivnost na portalu e-Savjetovanja te trenutno broji oko 60 000 korisnika.</w:t>
      </w:r>
    </w:p>
    <w:p w:rsidR="0046151F" w:rsidRPr="00457769" w:rsidRDefault="004F242A" w:rsidP="00485592">
      <w:pPr>
        <w:jc w:val="both"/>
        <w:rPr>
          <w:rFonts w:ascii="Cambria" w:hAnsi="Cambria"/>
          <w:sz w:val="24"/>
          <w:szCs w:val="24"/>
        </w:rPr>
      </w:pPr>
      <w:r w:rsidRPr="00457769">
        <w:rPr>
          <w:rFonts w:ascii="Cambria" w:hAnsi="Cambria"/>
          <w:sz w:val="24"/>
          <w:szCs w:val="24"/>
        </w:rPr>
        <w:lastRenderedPageBreak/>
        <w:t>Tijekom 202</w:t>
      </w:r>
      <w:r w:rsidR="002B123B" w:rsidRPr="00457769">
        <w:rPr>
          <w:rFonts w:ascii="Cambria" w:hAnsi="Cambria"/>
          <w:sz w:val="24"/>
          <w:szCs w:val="24"/>
        </w:rPr>
        <w:t>3</w:t>
      </w:r>
      <w:r w:rsidRPr="00457769">
        <w:rPr>
          <w:rFonts w:ascii="Cambria" w:hAnsi="Cambria"/>
          <w:sz w:val="24"/>
          <w:szCs w:val="24"/>
        </w:rPr>
        <w:t xml:space="preserve">. </w:t>
      </w:r>
      <w:r w:rsidR="006A5C7B" w:rsidRPr="00457769">
        <w:rPr>
          <w:rFonts w:ascii="Cambria" w:hAnsi="Cambria"/>
          <w:sz w:val="24"/>
          <w:szCs w:val="24"/>
        </w:rPr>
        <w:t xml:space="preserve">godine </w:t>
      </w:r>
      <w:r w:rsidRPr="00457769">
        <w:rPr>
          <w:rFonts w:ascii="Cambria" w:hAnsi="Cambria"/>
          <w:sz w:val="24"/>
          <w:szCs w:val="24"/>
        </w:rPr>
        <w:t xml:space="preserve">u savjetovanjima je svojim prijedlozima i primjedbama sudjelovalo </w:t>
      </w:r>
      <w:r w:rsidR="00457769" w:rsidRPr="00457769">
        <w:rPr>
          <w:rFonts w:ascii="Cambria" w:hAnsi="Cambria"/>
          <w:sz w:val="24"/>
          <w:szCs w:val="24"/>
        </w:rPr>
        <w:t>6.44</w:t>
      </w:r>
      <w:r w:rsidR="00AA432E">
        <w:rPr>
          <w:rFonts w:ascii="Cambria" w:hAnsi="Cambria"/>
          <w:sz w:val="24"/>
          <w:szCs w:val="24"/>
        </w:rPr>
        <w:t>5</w:t>
      </w:r>
      <w:r w:rsidR="00457769" w:rsidRPr="00457769">
        <w:rPr>
          <w:rFonts w:ascii="Cambria" w:hAnsi="Cambria"/>
          <w:sz w:val="24"/>
          <w:szCs w:val="24"/>
        </w:rPr>
        <w:t xml:space="preserve"> </w:t>
      </w:r>
      <w:r w:rsidRPr="00457769">
        <w:rPr>
          <w:rFonts w:ascii="Cambria" w:hAnsi="Cambria"/>
          <w:sz w:val="24"/>
          <w:szCs w:val="24"/>
        </w:rPr>
        <w:t xml:space="preserve">fizičkih i pravnih osoba s ukupno </w:t>
      </w:r>
      <w:r w:rsidR="00457769" w:rsidRPr="00457769">
        <w:rPr>
          <w:rFonts w:ascii="Cambria" w:hAnsi="Cambria"/>
          <w:sz w:val="24"/>
          <w:szCs w:val="24"/>
        </w:rPr>
        <w:t>19</w:t>
      </w:r>
      <w:r w:rsidRPr="00457769">
        <w:rPr>
          <w:rFonts w:ascii="Cambria" w:hAnsi="Cambria"/>
          <w:sz w:val="24"/>
          <w:szCs w:val="24"/>
        </w:rPr>
        <w:t>.</w:t>
      </w:r>
      <w:r w:rsidR="00457769" w:rsidRPr="00457769">
        <w:rPr>
          <w:rFonts w:ascii="Cambria" w:hAnsi="Cambria"/>
          <w:sz w:val="24"/>
          <w:szCs w:val="24"/>
        </w:rPr>
        <w:t>9</w:t>
      </w:r>
      <w:r w:rsidR="000B1774">
        <w:rPr>
          <w:rFonts w:ascii="Cambria" w:hAnsi="Cambria"/>
          <w:sz w:val="24"/>
          <w:szCs w:val="24"/>
        </w:rPr>
        <w:t>91</w:t>
      </w:r>
      <w:r w:rsidRPr="00457769">
        <w:rPr>
          <w:rFonts w:ascii="Cambria" w:hAnsi="Cambria"/>
          <w:sz w:val="24"/>
          <w:szCs w:val="24"/>
        </w:rPr>
        <w:t xml:space="preserve"> komentara. </w:t>
      </w:r>
      <w:r w:rsidR="00457769">
        <w:rPr>
          <w:rFonts w:ascii="Cambria" w:hAnsi="Cambria"/>
          <w:sz w:val="24"/>
          <w:szCs w:val="24"/>
        </w:rPr>
        <w:t xml:space="preserve">Iako je u savjetovanjima </w:t>
      </w:r>
      <w:r w:rsidR="005E1548">
        <w:rPr>
          <w:rFonts w:ascii="Cambria" w:hAnsi="Cambria"/>
          <w:sz w:val="24"/>
          <w:szCs w:val="24"/>
        </w:rPr>
        <w:t>sudjelovao gotovo jednaki broj</w:t>
      </w:r>
      <w:r w:rsidR="00457769">
        <w:rPr>
          <w:rFonts w:ascii="Cambria" w:hAnsi="Cambria"/>
          <w:sz w:val="24"/>
          <w:szCs w:val="24"/>
        </w:rPr>
        <w:t xml:space="preserve"> fizičkih i pravnih osoba u odnosu na 2022. godinu kad je taj broj iznosio </w:t>
      </w:r>
      <w:r w:rsidR="00457769" w:rsidRPr="00457769">
        <w:rPr>
          <w:rFonts w:ascii="Cambria" w:hAnsi="Cambria"/>
          <w:sz w:val="24"/>
          <w:szCs w:val="24"/>
        </w:rPr>
        <w:t xml:space="preserve">6.552 </w:t>
      </w:r>
      <w:r w:rsidRPr="00457769">
        <w:rPr>
          <w:rFonts w:ascii="Cambria" w:hAnsi="Cambria"/>
          <w:sz w:val="24"/>
          <w:szCs w:val="24"/>
        </w:rPr>
        <w:t>fizičkih i pravnih osoba</w:t>
      </w:r>
      <w:r w:rsidR="00457769">
        <w:rPr>
          <w:rFonts w:ascii="Cambria" w:hAnsi="Cambria"/>
          <w:sz w:val="24"/>
          <w:szCs w:val="24"/>
        </w:rPr>
        <w:t>, broj komentara je znatno manji u odnosu na 2022. godinu kad je ukupno zaprimljeno</w:t>
      </w:r>
      <w:r w:rsidRPr="00457769">
        <w:rPr>
          <w:rFonts w:ascii="Cambria" w:hAnsi="Cambria"/>
          <w:sz w:val="24"/>
          <w:szCs w:val="24"/>
        </w:rPr>
        <w:t xml:space="preserve"> 23.503 komentara.</w:t>
      </w:r>
    </w:p>
    <w:p w:rsidR="004A418B" w:rsidRPr="005500A8" w:rsidRDefault="002B123B" w:rsidP="00B70D8D">
      <w:pPr>
        <w:jc w:val="both"/>
        <w:rPr>
          <w:rFonts w:ascii="Cambria" w:hAnsi="Cambria"/>
          <w:sz w:val="24"/>
          <w:szCs w:val="24"/>
        </w:rPr>
      </w:pPr>
      <w:r w:rsidRPr="005500A8">
        <w:rPr>
          <w:rFonts w:ascii="Cambria" w:hAnsi="Cambria"/>
          <w:sz w:val="24"/>
          <w:szCs w:val="24"/>
        </w:rPr>
        <w:t>U prosincu 2023. godine završio je projekt</w:t>
      </w:r>
      <w:r w:rsidR="0046151F" w:rsidRPr="005500A8">
        <w:rPr>
          <w:rFonts w:ascii="Cambria" w:hAnsi="Cambria"/>
          <w:sz w:val="24"/>
          <w:szCs w:val="24"/>
        </w:rPr>
        <w:t xml:space="preserve"> </w:t>
      </w:r>
      <w:r w:rsidR="004A418B" w:rsidRPr="005500A8">
        <w:rPr>
          <w:rFonts w:ascii="Cambria" w:hAnsi="Cambria"/>
          <w:sz w:val="24"/>
          <w:szCs w:val="24"/>
        </w:rPr>
        <w:t xml:space="preserve">"e-Savjetovanja - središnji državni internetski portal za savjetovanje s javnošću-proširenja i nadgradnje", financiran sredstvima iz fondova Europske unije, </w:t>
      </w:r>
      <w:r w:rsidR="0046151F" w:rsidRPr="005500A8">
        <w:rPr>
          <w:rFonts w:ascii="Cambria" w:hAnsi="Cambria"/>
          <w:sz w:val="24"/>
          <w:szCs w:val="24"/>
        </w:rPr>
        <w:t xml:space="preserve">čiji </w:t>
      </w:r>
      <w:r w:rsidR="005760C4">
        <w:rPr>
          <w:rFonts w:ascii="Cambria" w:hAnsi="Cambria"/>
          <w:sz w:val="24"/>
          <w:szCs w:val="24"/>
        </w:rPr>
        <w:t xml:space="preserve">su </w:t>
      </w:r>
      <w:r w:rsidR="0046151F" w:rsidRPr="005500A8">
        <w:rPr>
          <w:rFonts w:ascii="Cambria" w:hAnsi="Cambria"/>
          <w:sz w:val="24"/>
          <w:szCs w:val="24"/>
        </w:rPr>
        <w:t>nositelj</w:t>
      </w:r>
      <w:r w:rsidR="005500A8" w:rsidRPr="005500A8">
        <w:rPr>
          <w:rFonts w:ascii="Cambria" w:hAnsi="Cambria"/>
          <w:sz w:val="24"/>
          <w:szCs w:val="24"/>
        </w:rPr>
        <w:t>i bili</w:t>
      </w:r>
      <w:r w:rsidR="004A418B" w:rsidRPr="005500A8">
        <w:rPr>
          <w:rFonts w:ascii="Cambria" w:hAnsi="Cambria"/>
          <w:sz w:val="24"/>
          <w:szCs w:val="24"/>
        </w:rPr>
        <w:t xml:space="preserve"> Središnji državni ured za razvoj digitalnog društva</w:t>
      </w:r>
      <w:r w:rsidR="0046151F" w:rsidRPr="005500A8">
        <w:rPr>
          <w:rFonts w:ascii="Cambria" w:hAnsi="Cambria"/>
          <w:sz w:val="24"/>
          <w:szCs w:val="24"/>
        </w:rPr>
        <w:t xml:space="preserve"> </w:t>
      </w:r>
      <w:r w:rsidR="005760C4">
        <w:rPr>
          <w:rFonts w:ascii="Cambria" w:hAnsi="Cambria"/>
          <w:sz w:val="24"/>
          <w:szCs w:val="24"/>
        </w:rPr>
        <w:t>i</w:t>
      </w:r>
      <w:r w:rsidR="0046151F" w:rsidRPr="005500A8">
        <w:rPr>
          <w:rFonts w:ascii="Cambria" w:hAnsi="Cambria"/>
          <w:sz w:val="24"/>
          <w:szCs w:val="24"/>
        </w:rPr>
        <w:t xml:space="preserve"> Ured za zakonodavstvo</w:t>
      </w:r>
      <w:r w:rsidR="004A418B" w:rsidRPr="005500A8">
        <w:rPr>
          <w:rFonts w:ascii="Cambria" w:hAnsi="Cambria"/>
          <w:sz w:val="24"/>
          <w:szCs w:val="24"/>
        </w:rPr>
        <w:t xml:space="preserve">. </w:t>
      </w:r>
    </w:p>
    <w:p w:rsidR="00457769" w:rsidRDefault="00457769" w:rsidP="00457769">
      <w:pPr>
        <w:jc w:val="both"/>
        <w:rPr>
          <w:rFonts w:ascii="Cambria" w:hAnsi="Cambria"/>
          <w:sz w:val="24"/>
          <w:szCs w:val="24"/>
        </w:rPr>
      </w:pPr>
      <w:r w:rsidRPr="00457769">
        <w:rPr>
          <w:rFonts w:ascii="Cambria" w:hAnsi="Cambria"/>
          <w:sz w:val="24"/>
          <w:szCs w:val="24"/>
        </w:rPr>
        <w:t>Kao rezultat projekta „e-Savjetovanja - proširenja, nadgradnje i unaprjeđenje zakonodavnih procesa savjetovanja s javnošću“, aplikacija e-Savjetovanja posta</w:t>
      </w:r>
      <w:r w:rsidR="005500A8">
        <w:rPr>
          <w:rFonts w:ascii="Cambria" w:hAnsi="Cambria"/>
          <w:sz w:val="24"/>
          <w:szCs w:val="24"/>
        </w:rPr>
        <w:t>la je</w:t>
      </w:r>
      <w:r w:rsidRPr="00457769">
        <w:rPr>
          <w:rFonts w:ascii="Cambria" w:hAnsi="Cambria"/>
          <w:sz w:val="24"/>
          <w:szCs w:val="24"/>
        </w:rPr>
        <w:t xml:space="preserve"> dio usluga u sklopu sustava e-Građani te je za tijela državne uprave </w:t>
      </w:r>
      <w:r w:rsidR="003E3A37">
        <w:rPr>
          <w:rFonts w:ascii="Cambria" w:hAnsi="Cambria"/>
          <w:sz w:val="24"/>
          <w:szCs w:val="24"/>
        </w:rPr>
        <w:t xml:space="preserve">i druga državna tijela kao </w:t>
      </w:r>
      <w:r w:rsidRPr="00457769">
        <w:rPr>
          <w:rFonts w:ascii="Cambria" w:hAnsi="Cambria"/>
          <w:sz w:val="24"/>
          <w:szCs w:val="24"/>
        </w:rPr>
        <w:t xml:space="preserve">i korisnike omogućena prijava u aplikaciju putem Nacionalnog identifikacijskog i </w:t>
      </w:r>
      <w:proofErr w:type="spellStart"/>
      <w:r w:rsidRPr="00457769">
        <w:rPr>
          <w:rFonts w:ascii="Cambria" w:hAnsi="Cambria"/>
          <w:sz w:val="24"/>
          <w:szCs w:val="24"/>
        </w:rPr>
        <w:t>autentifikacijskog</w:t>
      </w:r>
      <w:proofErr w:type="spellEnd"/>
      <w:r w:rsidRPr="00457769">
        <w:rPr>
          <w:rFonts w:ascii="Cambria" w:hAnsi="Cambria"/>
          <w:sz w:val="24"/>
          <w:szCs w:val="24"/>
        </w:rPr>
        <w:t xml:space="preserve"> sustava (NIAS). </w:t>
      </w:r>
      <w:r w:rsidR="005500A8" w:rsidRPr="005500A8">
        <w:rPr>
          <w:rFonts w:ascii="Cambria" w:hAnsi="Cambria"/>
          <w:sz w:val="24"/>
          <w:szCs w:val="24"/>
        </w:rPr>
        <w:t xml:space="preserve">Aplikacija je ujedno prilagođena mobilnim i </w:t>
      </w:r>
      <w:proofErr w:type="spellStart"/>
      <w:r w:rsidR="005500A8" w:rsidRPr="005500A8">
        <w:rPr>
          <w:rFonts w:ascii="Cambria" w:hAnsi="Cambria"/>
          <w:sz w:val="24"/>
          <w:szCs w:val="24"/>
        </w:rPr>
        <w:t>tablet</w:t>
      </w:r>
      <w:proofErr w:type="spellEnd"/>
      <w:r w:rsidR="005500A8" w:rsidRPr="005500A8">
        <w:rPr>
          <w:rFonts w:ascii="Cambria" w:hAnsi="Cambria"/>
          <w:sz w:val="24"/>
          <w:szCs w:val="24"/>
        </w:rPr>
        <w:t xml:space="preserve"> uređajima te je sustav </w:t>
      </w:r>
      <w:r w:rsidR="00DA242B">
        <w:rPr>
          <w:rFonts w:ascii="Cambria" w:hAnsi="Cambria"/>
          <w:sz w:val="24"/>
          <w:szCs w:val="24"/>
        </w:rPr>
        <w:t>prilagođen</w:t>
      </w:r>
      <w:r w:rsidR="005500A8" w:rsidRPr="005500A8">
        <w:rPr>
          <w:rFonts w:ascii="Cambria" w:hAnsi="Cambria"/>
          <w:sz w:val="24"/>
          <w:szCs w:val="24"/>
        </w:rPr>
        <w:t xml:space="preserve"> za korištenje </w:t>
      </w:r>
      <w:r w:rsidR="005760C4">
        <w:rPr>
          <w:rFonts w:ascii="Cambria" w:hAnsi="Cambria"/>
          <w:sz w:val="24"/>
          <w:szCs w:val="24"/>
        </w:rPr>
        <w:t>tijelima jedinica</w:t>
      </w:r>
      <w:r w:rsidR="00DA242B">
        <w:rPr>
          <w:rFonts w:ascii="Cambria" w:hAnsi="Cambria"/>
          <w:sz w:val="24"/>
          <w:szCs w:val="24"/>
        </w:rPr>
        <w:t xml:space="preserve"> </w:t>
      </w:r>
      <w:r w:rsidR="005500A8" w:rsidRPr="005500A8">
        <w:rPr>
          <w:rFonts w:ascii="Cambria" w:hAnsi="Cambria"/>
          <w:sz w:val="24"/>
          <w:szCs w:val="24"/>
        </w:rPr>
        <w:t xml:space="preserve">lokalne i područne (regionalne) samouprave. </w:t>
      </w:r>
    </w:p>
    <w:p w:rsidR="008C4D21" w:rsidRDefault="008C4D21" w:rsidP="008C4D21">
      <w:pPr>
        <w:jc w:val="both"/>
        <w:rPr>
          <w:rFonts w:ascii="Cambria" w:hAnsi="Cambria"/>
          <w:sz w:val="24"/>
          <w:szCs w:val="24"/>
        </w:rPr>
      </w:pPr>
      <w:r w:rsidRPr="008A58CB">
        <w:rPr>
          <w:rFonts w:ascii="Cambria" w:hAnsi="Cambria"/>
          <w:sz w:val="24"/>
          <w:szCs w:val="24"/>
        </w:rPr>
        <w:t xml:space="preserve">Izvješće </w:t>
      </w:r>
      <w:r>
        <w:rPr>
          <w:rFonts w:ascii="Cambria" w:hAnsi="Cambria"/>
          <w:sz w:val="24"/>
          <w:szCs w:val="24"/>
        </w:rPr>
        <w:t xml:space="preserve">o provedbi savjetovanja  s javnošću za 2023. godinu </w:t>
      </w:r>
      <w:r w:rsidRPr="008A58CB">
        <w:rPr>
          <w:rFonts w:ascii="Cambria" w:hAnsi="Cambria"/>
          <w:sz w:val="24"/>
          <w:szCs w:val="24"/>
        </w:rPr>
        <w:t>je izrađeno na temelju statističkih podataka dostupnih putem središnjeg internetskog portala za savjetovanje s javnošću „e-Savjetovanja</w:t>
      </w:r>
      <w:r>
        <w:rPr>
          <w:rFonts w:ascii="Cambria" w:hAnsi="Cambria"/>
          <w:sz w:val="24"/>
          <w:szCs w:val="24"/>
        </w:rPr>
        <w:t>“</w:t>
      </w:r>
      <w:r w:rsidRPr="008A58CB">
        <w:rPr>
          <w:rFonts w:ascii="Cambria" w:hAnsi="Cambria"/>
          <w:sz w:val="24"/>
          <w:szCs w:val="24"/>
        </w:rPr>
        <w:t xml:space="preserve"> te podataka prikupljenih od nadležnih </w:t>
      </w:r>
      <w:r w:rsidR="003E3A37">
        <w:rPr>
          <w:rFonts w:ascii="Cambria" w:hAnsi="Cambria"/>
          <w:sz w:val="24"/>
          <w:szCs w:val="24"/>
        </w:rPr>
        <w:t xml:space="preserve">tijela državne uprave i </w:t>
      </w:r>
      <w:r w:rsidRPr="008A58CB">
        <w:rPr>
          <w:rFonts w:ascii="Cambria" w:hAnsi="Cambria"/>
          <w:sz w:val="24"/>
          <w:szCs w:val="24"/>
        </w:rPr>
        <w:t xml:space="preserve">državnih tijela o provedenim savjetovanjima </w:t>
      </w:r>
      <w:r w:rsidR="00BD0B32">
        <w:rPr>
          <w:rFonts w:ascii="Cambria" w:hAnsi="Cambria"/>
          <w:sz w:val="24"/>
          <w:szCs w:val="24"/>
        </w:rPr>
        <w:t>s</w:t>
      </w:r>
      <w:r w:rsidRPr="008A58CB">
        <w:rPr>
          <w:rFonts w:ascii="Cambria" w:hAnsi="Cambria"/>
          <w:sz w:val="24"/>
          <w:szCs w:val="24"/>
        </w:rPr>
        <w:t xml:space="preserve"> javnošću u 2023. godini.</w:t>
      </w:r>
    </w:p>
    <w:p w:rsidR="0046151F" w:rsidRPr="00DB7250" w:rsidRDefault="0046151F" w:rsidP="00890629">
      <w:pPr>
        <w:jc w:val="both"/>
        <w:rPr>
          <w:rFonts w:ascii="Cambria" w:hAnsi="Cambria"/>
          <w:sz w:val="24"/>
          <w:szCs w:val="24"/>
          <w:highlight w:val="yellow"/>
        </w:rPr>
      </w:pPr>
    </w:p>
    <w:p w:rsidR="008028F8" w:rsidRPr="00B70D8D" w:rsidRDefault="0083365D" w:rsidP="00015400">
      <w:pPr>
        <w:pStyle w:val="Heading1"/>
        <w:rPr>
          <w:b/>
        </w:rPr>
      </w:pPr>
      <w:bookmarkStart w:id="8" w:name="_Toc176169387"/>
      <w:r w:rsidRPr="00B70D8D">
        <w:rPr>
          <w:b/>
        </w:rPr>
        <w:t>2</w:t>
      </w:r>
      <w:r w:rsidR="00015400" w:rsidRPr="00B70D8D">
        <w:rPr>
          <w:b/>
        </w:rPr>
        <w:t>. JAČANJE KAPACITETA TIJELA DRŽAVNE UPRAVE ZA PROVEDBU SAVJETOVANJA</w:t>
      </w:r>
      <w:bookmarkEnd w:id="8"/>
      <w:r w:rsidR="008A58CB">
        <w:rPr>
          <w:b/>
        </w:rPr>
        <w:t xml:space="preserve"> </w:t>
      </w:r>
    </w:p>
    <w:p w:rsidR="0012496F" w:rsidRPr="00B70D8D" w:rsidRDefault="0012496F" w:rsidP="0012496F"/>
    <w:p w:rsidR="005D45BE" w:rsidRDefault="005D45BE" w:rsidP="005D45BE">
      <w:pPr>
        <w:spacing w:line="276" w:lineRule="auto"/>
        <w:jc w:val="both"/>
        <w:rPr>
          <w:rFonts w:ascii="Cambria" w:eastAsia="Calibri" w:hAnsi="Cambria" w:cs="Calibri"/>
          <w:sz w:val="24"/>
          <w:szCs w:val="24"/>
        </w:rPr>
      </w:pPr>
      <w:r w:rsidRPr="00E24EC5">
        <w:rPr>
          <w:rFonts w:ascii="Cambria" w:eastAsia="Calibri" w:hAnsi="Cambria" w:cs="Calibri"/>
          <w:sz w:val="24"/>
          <w:szCs w:val="24"/>
        </w:rPr>
        <w:t xml:space="preserve">U svrhu jačanja kapaciteta tijela državne uprave za provedbu savjetovanja </w:t>
      </w:r>
      <w:r w:rsidR="00762EBE" w:rsidRPr="00E24EC5">
        <w:rPr>
          <w:rFonts w:ascii="Cambria" w:eastAsia="Calibri" w:hAnsi="Cambria" w:cs="Calibri"/>
          <w:sz w:val="24"/>
          <w:szCs w:val="24"/>
        </w:rPr>
        <w:t>s</w:t>
      </w:r>
      <w:r w:rsidRPr="00E24EC5">
        <w:rPr>
          <w:rFonts w:ascii="Cambria" w:eastAsia="Calibri" w:hAnsi="Cambria" w:cs="Calibri"/>
          <w:sz w:val="24"/>
          <w:szCs w:val="24"/>
        </w:rPr>
        <w:t xml:space="preserve"> javnošću</w:t>
      </w:r>
      <w:r w:rsidR="00500D11" w:rsidRPr="00E24EC5">
        <w:rPr>
          <w:rFonts w:ascii="Cambria" w:eastAsia="Calibri" w:hAnsi="Cambria" w:cs="Calibri"/>
          <w:sz w:val="24"/>
          <w:szCs w:val="24"/>
        </w:rPr>
        <w:t>,</w:t>
      </w:r>
      <w:r w:rsidRPr="00E24EC5">
        <w:rPr>
          <w:rFonts w:ascii="Cambria" w:eastAsia="Calibri" w:hAnsi="Cambria" w:cs="Calibri"/>
          <w:sz w:val="24"/>
          <w:szCs w:val="24"/>
        </w:rPr>
        <w:t xml:space="preserve"> </w:t>
      </w:r>
      <w:r w:rsidR="00656983" w:rsidRPr="00E24EC5">
        <w:rPr>
          <w:rFonts w:ascii="Cambria" w:eastAsia="Calibri" w:hAnsi="Cambria" w:cs="Calibri"/>
          <w:sz w:val="24"/>
          <w:szCs w:val="24"/>
        </w:rPr>
        <w:t>u protekloj godini održano je više</w:t>
      </w:r>
      <w:r w:rsidRPr="00E24EC5">
        <w:rPr>
          <w:rFonts w:ascii="Cambria" w:eastAsia="Calibri" w:hAnsi="Cambria" w:cs="Calibri"/>
          <w:sz w:val="24"/>
          <w:szCs w:val="24"/>
        </w:rPr>
        <w:t xml:space="preserve"> edukativn</w:t>
      </w:r>
      <w:r w:rsidR="00656983" w:rsidRPr="00E24EC5">
        <w:rPr>
          <w:rFonts w:ascii="Cambria" w:eastAsia="Calibri" w:hAnsi="Cambria" w:cs="Calibri"/>
          <w:sz w:val="24"/>
          <w:szCs w:val="24"/>
        </w:rPr>
        <w:t>ih</w:t>
      </w:r>
      <w:r w:rsidRPr="00E24EC5">
        <w:rPr>
          <w:rFonts w:ascii="Cambria" w:eastAsia="Calibri" w:hAnsi="Cambria" w:cs="Calibri"/>
          <w:sz w:val="24"/>
          <w:szCs w:val="24"/>
        </w:rPr>
        <w:t xml:space="preserve"> radionic</w:t>
      </w:r>
      <w:r w:rsidR="00656983" w:rsidRPr="00E24EC5">
        <w:rPr>
          <w:rFonts w:ascii="Cambria" w:eastAsia="Calibri" w:hAnsi="Cambria" w:cs="Calibri"/>
          <w:sz w:val="24"/>
          <w:szCs w:val="24"/>
        </w:rPr>
        <w:t>a</w:t>
      </w:r>
      <w:r w:rsidRPr="00E24EC5">
        <w:rPr>
          <w:rFonts w:ascii="Cambria" w:eastAsia="Calibri" w:hAnsi="Cambria" w:cs="Calibri"/>
          <w:sz w:val="24"/>
          <w:szCs w:val="24"/>
        </w:rPr>
        <w:t xml:space="preserve"> namijenjen</w:t>
      </w:r>
      <w:r w:rsidR="00656983" w:rsidRPr="00E24EC5">
        <w:rPr>
          <w:rFonts w:ascii="Cambria" w:eastAsia="Calibri" w:hAnsi="Cambria" w:cs="Calibri"/>
          <w:sz w:val="24"/>
          <w:szCs w:val="24"/>
        </w:rPr>
        <w:t>ih</w:t>
      </w:r>
      <w:r w:rsidRPr="00E24EC5">
        <w:rPr>
          <w:rFonts w:ascii="Cambria" w:eastAsia="Calibri" w:hAnsi="Cambria" w:cs="Calibri"/>
          <w:sz w:val="24"/>
          <w:szCs w:val="24"/>
        </w:rPr>
        <w:t xml:space="preserve"> službenicima u tijelima državne uprave</w:t>
      </w:r>
      <w:r w:rsidR="002F77C5">
        <w:rPr>
          <w:rFonts w:ascii="Cambria" w:eastAsia="Calibri" w:hAnsi="Cambria" w:cs="Calibri"/>
          <w:sz w:val="24"/>
          <w:szCs w:val="24"/>
        </w:rPr>
        <w:t xml:space="preserve"> i drugim tijelima</w:t>
      </w:r>
      <w:r w:rsidR="006D678B" w:rsidRPr="00E24EC5">
        <w:rPr>
          <w:rFonts w:ascii="Cambria" w:eastAsia="Calibri" w:hAnsi="Cambria" w:cs="Calibri"/>
          <w:sz w:val="24"/>
          <w:szCs w:val="24"/>
        </w:rPr>
        <w:t>.</w:t>
      </w:r>
    </w:p>
    <w:p w:rsidR="00E24EC5" w:rsidRPr="00E24EC5" w:rsidRDefault="00E24EC5" w:rsidP="005D45BE">
      <w:pPr>
        <w:spacing w:line="276" w:lineRule="auto"/>
        <w:jc w:val="both"/>
        <w:rPr>
          <w:rFonts w:ascii="Cambria" w:eastAsia="Calibri" w:hAnsi="Cambria" w:cs="Calibri"/>
          <w:sz w:val="24"/>
          <w:szCs w:val="24"/>
        </w:rPr>
      </w:pPr>
      <w:r>
        <w:rPr>
          <w:rFonts w:ascii="Cambria" w:eastAsia="Calibri" w:hAnsi="Cambria" w:cs="Calibri"/>
          <w:sz w:val="24"/>
          <w:szCs w:val="24"/>
        </w:rPr>
        <w:t>O</w:t>
      </w:r>
      <w:r w:rsidRPr="00E24EC5">
        <w:rPr>
          <w:rFonts w:ascii="Cambria" w:eastAsia="Calibri" w:hAnsi="Cambria" w:cs="Calibri"/>
          <w:sz w:val="24"/>
          <w:szCs w:val="24"/>
        </w:rPr>
        <w:t xml:space="preserve">d 2019. godine, sukladno Uredbi o Uredu za zakonodavstvo („Narodne novine“ broj 63/19), te ranije važećoj Uredbi o unutarnjem ustrojstvu Središnjeg državnog ureda za razvoj digitalnog društva („Narodne novine“ broj 63/19), poslove vezane za razvoj, održavanje i unaprjeđenje sadržaja središnjeg državnog internetskog portala za savjetovanje s javnošću (e-Savjetovanja) obavlja Ured za zakonodavstvo </w:t>
      </w:r>
      <w:r w:rsidR="003E5D0C">
        <w:rPr>
          <w:rFonts w:ascii="Cambria" w:eastAsia="Calibri" w:hAnsi="Cambria" w:cs="Calibri"/>
          <w:sz w:val="24"/>
          <w:szCs w:val="24"/>
        </w:rPr>
        <w:t xml:space="preserve">Vlade Republike Hrvatske (u daljnjem tekstu: Ured za zakonodavstvo) </w:t>
      </w:r>
      <w:r w:rsidRPr="00E24EC5">
        <w:rPr>
          <w:rFonts w:ascii="Cambria" w:eastAsia="Calibri" w:hAnsi="Cambria" w:cs="Calibri"/>
          <w:sz w:val="24"/>
          <w:szCs w:val="24"/>
        </w:rPr>
        <w:t>u suradnji s tijelom državne uprave nadležnim za razvoj digitalnog društva</w:t>
      </w:r>
      <w:r>
        <w:rPr>
          <w:rFonts w:ascii="Cambria" w:eastAsia="Calibri" w:hAnsi="Cambria" w:cs="Calibri"/>
          <w:sz w:val="24"/>
          <w:szCs w:val="24"/>
        </w:rPr>
        <w:t>, uključujući i</w:t>
      </w:r>
      <w:r w:rsidR="00393BA4">
        <w:rPr>
          <w:rFonts w:ascii="Cambria" w:eastAsia="Calibri" w:hAnsi="Cambria" w:cs="Calibri"/>
          <w:sz w:val="24"/>
          <w:szCs w:val="24"/>
        </w:rPr>
        <w:t xml:space="preserve"> održavanje programa edukacije u području savjetovanja s javnošću</w:t>
      </w:r>
      <w:r w:rsidRPr="00E24EC5">
        <w:rPr>
          <w:rFonts w:ascii="Cambria" w:eastAsia="Calibri" w:hAnsi="Cambria" w:cs="Calibri"/>
          <w:sz w:val="24"/>
          <w:szCs w:val="24"/>
        </w:rPr>
        <w:t>.</w:t>
      </w:r>
    </w:p>
    <w:p w:rsidR="00E24EC5" w:rsidRDefault="006D678B" w:rsidP="006D678B">
      <w:pPr>
        <w:spacing w:line="276" w:lineRule="auto"/>
        <w:jc w:val="both"/>
        <w:rPr>
          <w:rFonts w:ascii="Cambria" w:eastAsia="Calibri" w:hAnsi="Cambria" w:cs="Calibri"/>
          <w:sz w:val="24"/>
          <w:szCs w:val="24"/>
        </w:rPr>
      </w:pPr>
      <w:r w:rsidRPr="00E24EC5">
        <w:rPr>
          <w:rFonts w:ascii="Cambria" w:eastAsia="Calibri" w:hAnsi="Cambria" w:cs="Calibri"/>
          <w:sz w:val="24"/>
          <w:szCs w:val="24"/>
        </w:rPr>
        <w:t>Ured za zakonodavstvo</w:t>
      </w:r>
      <w:r w:rsidR="00E24EC5" w:rsidRPr="00E24EC5">
        <w:rPr>
          <w:rFonts w:ascii="Cambria" w:eastAsia="Calibri" w:hAnsi="Cambria" w:cs="Calibri"/>
          <w:sz w:val="24"/>
          <w:szCs w:val="24"/>
        </w:rPr>
        <w:t xml:space="preserve"> u suradnji sa Središnjim državnim uredom za razvoj digitalnog društva </w:t>
      </w:r>
      <w:r w:rsidR="00393BA4">
        <w:rPr>
          <w:rFonts w:ascii="Cambria" w:eastAsia="Calibri" w:hAnsi="Cambria" w:cs="Calibri"/>
          <w:sz w:val="24"/>
          <w:szCs w:val="24"/>
        </w:rPr>
        <w:t xml:space="preserve">u 2023. godini </w:t>
      </w:r>
      <w:r w:rsidR="00E24EC5" w:rsidRPr="00E24EC5">
        <w:rPr>
          <w:rFonts w:ascii="Cambria" w:eastAsia="Calibri" w:hAnsi="Cambria" w:cs="Calibri"/>
          <w:sz w:val="24"/>
          <w:szCs w:val="24"/>
        </w:rPr>
        <w:t>zajednički je provodio program edukacije pod nazivom „</w:t>
      </w:r>
      <w:r w:rsidR="00393BA4" w:rsidRPr="00393BA4">
        <w:rPr>
          <w:rFonts w:ascii="Cambria" w:eastAsia="Calibri" w:hAnsi="Cambria" w:cs="Calibri"/>
          <w:sz w:val="24"/>
          <w:szCs w:val="24"/>
        </w:rPr>
        <w:t xml:space="preserve">Savjetovanje </w:t>
      </w:r>
      <w:r w:rsidR="00393BA4" w:rsidRPr="00393BA4">
        <w:rPr>
          <w:rFonts w:ascii="Cambria" w:eastAsia="Calibri" w:hAnsi="Cambria" w:cs="Calibri"/>
          <w:sz w:val="24"/>
          <w:szCs w:val="24"/>
        </w:rPr>
        <w:lastRenderedPageBreak/>
        <w:t>s javnošću kao dio zakonodavnog postupka</w:t>
      </w:r>
      <w:r w:rsidR="00393BA4">
        <w:rPr>
          <w:rFonts w:ascii="Cambria" w:eastAsia="Calibri" w:hAnsi="Cambria" w:cs="Calibri"/>
          <w:sz w:val="24"/>
          <w:szCs w:val="24"/>
        </w:rPr>
        <w:t>“</w:t>
      </w:r>
      <w:r w:rsidRPr="00E24EC5">
        <w:rPr>
          <w:rFonts w:ascii="Cambria" w:eastAsia="Calibri" w:hAnsi="Cambria" w:cs="Calibri"/>
          <w:sz w:val="24"/>
          <w:szCs w:val="24"/>
        </w:rPr>
        <w:t xml:space="preserve">. </w:t>
      </w:r>
      <w:r w:rsidR="00E24EC5" w:rsidRPr="00E24EC5">
        <w:rPr>
          <w:rFonts w:ascii="Cambria" w:eastAsia="Calibri" w:hAnsi="Cambria" w:cs="Calibri"/>
          <w:sz w:val="24"/>
          <w:szCs w:val="24"/>
        </w:rPr>
        <w:t xml:space="preserve">Cilj radionice bio je usmjeren na unaprjeđenje provedbe savjetovanja s javnošću kao dijela zakonodavnog postupka te osigurati učinkovito korištenje e-Savjetovanja u postupcima donošenja zakona, drugih propisa i akata. </w:t>
      </w:r>
    </w:p>
    <w:p w:rsidR="006D678B" w:rsidRPr="00E24EC5" w:rsidRDefault="009876F1" w:rsidP="006D678B">
      <w:pPr>
        <w:spacing w:line="276" w:lineRule="auto"/>
        <w:jc w:val="both"/>
        <w:rPr>
          <w:rFonts w:ascii="Cambria" w:eastAsia="Calibri" w:hAnsi="Cambria" w:cs="Calibri"/>
          <w:sz w:val="24"/>
          <w:szCs w:val="24"/>
        </w:rPr>
      </w:pPr>
      <w:r w:rsidRPr="00E24EC5">
        <w:rPr>
          <w:rFonts w:ascii="Cambria" w:eastAsia="Calibri" w:hAnsi="Cambria" w:cs="Calibri"/>
          <w:sz w:val="24"/>
          <w:szCs w:val="24"/>
        </w:rPr>
        <w:t>U 202</w:t>
      </w:r>
      <w:r w:rsidR="00E24EC5" w:rsidRPr="00E24EC5">
        <w:rPr>
          <w:rFonts w:ascii="Cambria" w:eastAsia="Calibri" w:hAnsi="Cambria" w:cs="Calibri"/>
          <w:sz w:val="24"/>
          <w:szCs w:val="24"/>
        </w:rPr>
        <w:t>3</w:t>
      </w:r>
      <w:r w:rsidRPr="00E24EC5">
        <w:rPr>
          <w:rFonts w:ascii="Cambria" w:eastAsia="Calibri" w:hAnsi="Cambria" w:cs="Calibri"/>
          <w:sz w:val="24"/>
          <w:szCs w:val="24"/>
        </w:rPr>
        <w:t xml:space="preserve">. godini u Državnoj školi za javnu upravu </w:t>
      </w:r>
      <w:r w:rsidR="00E24EC5" w:rsidRPr="00E24EC5">
        <w:rPr>
          <w:rFonts w:ascii="Cambria" w:eastAsia="Calibri" w:hAnsi="Cambria" w:cs="Calibri"/>
          <w:sz w:val="24"/>
          <w:szCs w:val="24"/>
        </w:rPr>
        <w:t xml:space="preserve">ukupno je održano </w:t>
      </w:r>
      <w:r w:rsidR="008A58CB">
        <w:rPr>
          <w:rFonts w:ascii="Cambria" w:eastAsia="Calibri" w:hAnsi="Cambria" w:cs="Calibri"/>
          <w:sz w:val="24"/>
          <w:szCs w:val="24"/>
        </w:rPr>
        <w:t>sedam</w:t>
      </w:r>
      <w:r w:rsidR="00E24EC5" w:rsidRPr="00E24EC5">
        <w:rPr>
          <w:rFonts w:ascii="Cambria" w:eastAsia="Calibri" w:hAnsi="Cambria" w:cs="Calibri"/>
          <w:sz w:val="24"/>
          <w:szCs w:val="24"/>
        </w:rPr>
        <w:t xml:space="preserve"> </w:t>
      </w:r>
      <w:r w:rsidRPr="00E24EC5">
        <w:rPr>
          <w:rFonts w:ascii="Cambria" w:eastAsia="Calibri" w:hAnsi="Cambria" w:cs="Calibri"/>
          <w:sz w:val="24"/>
          <w:szCs w:val="24"/>
        </w:rPr>
        <w:t>radionic</w:t>
      </w:r>
      <w:r w:rsidR="00E24EC5" w:rsidRPr="00E24EC5">
        <w:rPr>
          <w:rFonts w:ascii="Cambria" w:eastAsia="Calibri" w:hAnsi="Cambria" w:cs="Calibri"/>
          <w:sz w:val="24"/>
          <w:szCs w:val="24"/>
        </w:rPr>
        <w:t>a</w:t>
      </w:r>
      <w:r w:rsidRPr="00E24EC5">
        <w:rPr>
          <w:rFonts w:ascii="Cambria" w:eastAsia="Calibri" w:hAnsi="Cambria" w:cs="Calibri"/>
          <w:sz w:val="24"/>
          <w:szCs w:val="24"/>
        </w:rPr>
        <w:t xml:space="preserve"> </w:t>
      </w:r>
      <w:r w:rsidR="009942D2" w:rsidRPr="00E24EC5">
        <w:rPr>
          <w:rFonts w:ascii="Cambria" w:eastAsia="Calibri" w:hAnsi="Cambria" w:cs="Calibri"/>
          <w:sz w:val="24"/>
          <w:szCs w:val="24"/>
        </w:rPr>
        <w:t>na koj</w:t>
      </w:r>
      <w:r w:rsidRPr="00E24EC5">
        <w:rPr>
          <w:rFonts w:ascii="Cambria" w:eastAsia="Calibri" w:hAnsi="Cambria" w:cs="Calibri"/>
          <w:sz w:val="24"/>
          <w:szCs w:val="24"/>
        </w:rPr>
        <w:t xml:space="preserve">ima je ukupno </w:t>
      </w:r>
      <w:r w:rsidR="006D678B" w:rsidRPr="00E24EC5">
        <w:rPr>
          <w:rFonts w:ascii="Cambria" w:eastAsia="Calibri" w:hAnsi="Cambria" w:cs="Calibri"/>
          <w:sz w:val="24"/>
          <w:szCs w:val="24"/>
        </w:rPr>
        <w:t xml:space="preserve">sudjelovalo </w:t>
      </w:r>
      <w:r w:rsidR="00E24EC5" w:rsidRPr="00E24EC5">
        <w:rPr>
          <w:rFonts w:ascii="Cambria" w:eastAsia="Calibri" w:hAnsi="Cambria" w:cs="Calibri"/>
          <w:sz w:val="24"/>
          <w:szCs w:val="24"/>
        </w:rPr>
        <w:t>94</w:t>
      </w:r>
      <w:r w:rsidR="0021729A" w:rsidRPr="00E24EC5">
        <w:rPr>
          <w:rFonts w:ascii="Cambria" w:eastAsia="Calibri" w:hAnsi="Cambria" w:cs="Calibri"/>
          <w:sz w:val="24"/>
          <w:szCs w:val="24"/>
        </w:rPr>
        <w:t xml:space="preserve"> </w:t>
      </w:r>
      <w:r w:rsidR="006D678B" w:rsidRPr="00E24EC5">
        <w:rPr>
          <w:rFonts w:ascii="Cambria" w:eastAsia="Calibri" w:hAnsi="Cambria" w:cs="Calibri"/>
          <w:sz w:val="24"/>
          <w:szCs w:val="24"/>
        </w:rPr>
        <w:t>polaznika.</w:t>
      </w:r>
    </w:p>
    <w:p w:rsidR="00E24EC5" w:rsidRPr="00483F38" w:rsidRDefault="00E24EC5" w:rsidP="006D678B">
      <w:pPr>
        <w:spacing w:line="276" w:lineRule="auto"/>
        <w:jc w:val="both"/>
        <w:rPr>
          <w:rFonts w:ascii="Cambria" w:eastAsia="Calibri" w:hAnsi="Cambria" w:cs="Calibri"/>
          <w:sz w:val="24"/>
          <w:szCs w:val="24"/>
          <w:highlight w:val="yellow"/>
        </w:rPr>
      </w:pPr>
    </w:p>
    <w:p w:rsidR="0005206E" w:rsidRPr="007D522B" w:rsidRDefault="0083365D" w:rsidP="00890629">
      <w:pPr>
        <w:pStyle w:val="Heading1"/>
        <w:rPr>
          <w:b/>
        </w:rPr>
      </w:pPr>
      <w:bookmarkStart w:id="9" w:name="_Toc176169388"/>
      <w:r>
        <w:rPr>
          <w:b/>
        </w:rPr>
        <w:t>3</w:t>
      </w:r>
      <w:r w:rsidR="008028F8" w:rsidRPr="007D522B">
        <w:rPr>
          <w:b/>
        </w:rPr>
        <w:t xml:space="preserve">. </w:t>
      </w:r>
      <w:r w:rsidR="00A6306B" w:rsidRPr="007D522B">
        <w:rPr>
          <w:b/>
        </w:rPr>
        <w:t>ANALIZA PROVEDENIH SAVJETOVANJA U 20</w:t>
      </w:r>
      <w:r w:rsidR="006D678B" w:rsidRPr="007D522B">
        <w:rPr>
          <w:b/>
        </w:rPr>
        <w:t>2</w:t>
      </w:r>
      <w:r w:rsidR="00483F38">
        <w:rPr>
          <w:b/>
        </w:rPr>
        <w:t>3</w:t>
      </w:r>
      <w:r w:rsidR="00A6306B" w:rsidRPr="007D522B">
        <w:rPr>
          <w:b/>
        </w:rPr>
        <w:t>.</w:t>
      </w:r>
      <w:bookmarkEnd w:id="9"/>
      <w:r w:rsidR="00A6306B" w:rsidRPr="007D522B">
        <w:rPr>
          <w:b/>
        </w:rPr>
        <w:t xml:space="preserve"> </w:t>
      </w:r>
    </w:p>
    <w:p w:rsidR="00890629" w:rsidRPr="007D522B" w:rsidRDefault="00890629" w:rsidP="00890629"/>
    <w:p w:rsidR="007F5755" w:rsidRPr="007D522B" w:rsidRDefault="00A22899" w:rsidP="00036623">
      <w:pPr>
        <w:jc w:val="both"/>
        <w:rPr>
          <w:rFonts w:ascii="Cambria" w:hAnsi="Cambria"/>
          <w:sz w:val="24"/>
          <w:szCs w:val="24"/>
        </w:rPr>
      </w:pPr>
      <w:r w:rsidRPr="007D522B">
        <w:rPr>
          <w:rFonts w:ascii="Cambria" w:hAnsi="Cambria"/>
          <w:sz w:val="24"/>
          <w:szCs w:val="24"/>
        </w:rPr>
        <w:t xml:space="preserve">Analiza u nastavku obuhvaća savjetovanja s javnošću koja su </w:t>
      </w:r>
      <w:r w:rsidR="00BC224E" w:rsidRPr="007D522B">
        <w:rPr>
          <w:rFonts w:ascii="Cambria" w:hAnsi="Cambria"/>
          <w:sz w:val="24"/>
          <w:szCs w:val="24"/>
        </w:rPr>
        <w:t>u 20</w:t>
      </w:r>
      <w:r w:rsidR="006D678B" w:rsidRPr="007D522B">
        <w:rPr>
          <w:rFonts w:ascii="Cambria" w:hAnsi="Cambria"/>
          <w:sz w:val="24"/>
          <w:szCs w:val="24"/>
        </w:rPr>
        <w:t>2</w:t>
      </w:r>
      <w:r w:rsidR="00483F38">
        <w:rPr>
          <w:rFonts w:ascii="Cambria" w:hAnsi="Cambria"/>
          <w:sz w:val="24"/>
          <w:szCs w:val="24"/>
        </w:rPr>
        <w:t>3</w:t>
      </w:r>
      <w:r w:rsidR="00BC224E" w:rsidRPr="007D522B">
        <w:rPr>
          <w:rFonts w:ascii="Cambria" w:hAnsi="Cambria"/>
          <w:sz w:val="24"/>
          <w:szCs w:val="24"/>
        </w:rPr>
        <w:t xml:space="preserve">.  godini </w:t>
      </w:r>
      <w:r w:rsidRPr="007D522B">
        <w:rPr>
          <w:rFonts w:ascii="Cambria" w:hAnsi="Cambria"/>
          <w:sz w:val="24"/>
          <w:szCs w:val="24"/>
        </w:rPr>
        <w:t xml:space="preserve">provodila </w:t>
      </w:r>
      <w:r w:rsidR="00BC224E" w:rsidRPr="007D522B">
        <w:rPr>
          <w:rFonts w:ascii="Cambria" w:hAnsi="Cambria"/>
          <w:sz w:val="24"/>
          <w:szCs w:val="24"/>
        </w:rPr>
        <w:t xml:space="preserve">tijela državne uprave </w:t>
      </w:r>
      <w:r w:rsidR="00F620DB">
        <w:rPr>
          <w:rFonts w:ascii="Cambria" w:hAnsi="Cambria"/>
          <w:sz w:val="24"/>
          <w:szCs w:val="24"/>
        </w:rPr>
        <w:t xml:space="preserve">i </w:t>
      </w:r>
      <w:r w:rsidR="0038521F">
        <w:rPr>
          <w:rFonts w:ascii="Cambria" w:hAnsi="Cambria"/>
          <w:sz w:val="24"/>
          <w:szCs w:val="24"/>
        </w:rPr>
        <w:t>državna tijela</w:t>
      </w:r>
      <w:r w:rsidR="00BC224E" w:rsidRPr="007D522B">
        <w:rPr>
          <w:rFonts w:ascii="Cambria" w:hAnsi="Cambria"/>
          <w:sz w:val="24"/>
          <w:szCs w:val="24"/>
        </w:rPr>
        <w:t xml:space="preserve"> putem portala</w:t>
      </w:r>
      <w:r w:rsidRPr="007D522B">
        <w:rPr>
          <w:rFonts w:ascii="Cambria" w:hAnsi="Cambria"/>
          <w:sz w:val="24"/>
          <w:szCs w:val="24"/>
        </w:rPr>
        <w:t xml:space="preserve"> „e-Savjetovanja“ te izvan aplikacije - objavom nacrta propisa na internetskim stranicama</w:t>
      </w:r>
      <w:r w:rsidR="00500D11" w:rsidRPr="007D522B">
        <w:rPr>
          <w:rFonts w:ascii="Cambria" w:hAnsi="Cambria"/>
          <w:sz w:val="24"/>
          <w:szCs w:val="24"/>
        </w:rPr>
        <w:t xml:space="preserve"> </w:t>
      </w:r>
      <w:r w:rsidR="003E3A37">
        <w:rPr>
          <w:rFonts w:ascii="Cambria" w:hAnsi="Cambria"/>
          <w:sz w:val="24"/>
          <w:szCs w:val="24"/>
        </w:rPr>
        <w:t xml:space="preserve">tijela državne uprave i </w:t>
      </w:r>
      <w:r w:rsidR="00500D11" w:rsidRPr="007D522B">
        <w:rPr>
          <w:rFonts w:ascii="Cambria" w:hAnsi="Cambria"/>
          <w:sz w:val="24"/>
          <w:szCs w:val="24"/>
        </w:rPr>
        <w:t>državnih tijela</w:t>
      </w:r>
      <w:r w:rsidRPr="007D522B">
        <w:rPr>
          <w:rFonts w:ascii="Cambria" w:hAnsi="Cambria"/>
          <w:sz w:val="24"/>
          <w:szCs w:val="24"/>
        </w:rPr>
        <w:t>, održavanjem javnih rasprava, okruglih stolova, savjetodavnih sastanaka i slično.</w:t>
      </w:r>
    </w:p>
    <w:p w:rsidR="00DD060D" w:rsidRPr="007D522B" w:rsidRDefault="00DD060D" w:rsidP="00036623">
      <w:pPr>
        <w:jc w:val="both"/>
        <w:rPr>
          <w:rFonts w:ascii="Cambria" w:hAnsi="Cambria"/>
          <w:sz w:val="24"/>
          <w:szCs w:val="24"/>
        </w:rPr>
      </w:pPr>
      <w:r w:rsidRPr="007D522B">
        <w:rPr>
          <w:rFonts w:ascii="Cambria" w:hAnsi="Cambria"/>
          <w:sz w:val="24"/>
          <w:szCs w:val="24"/>
        </w:rPr>
        <w:t xml:space="preserve">Kao tijelo koje koordinira </w:t>
      </w:r>
      <w:r w:rsidR="000303CE" w:rsidRPr="007D522B">
        <w:rPr>
          <w:rFonts w:ascii="Cambria" w:hAnsi="Cambria"/>
          <w:sz w:val="24"/>
          <w:szCs w:val="24"/>
        </w:rPr>
        <w:t>rad portala</w:t>
      </w:r>
      <w:r w:rsidRPr="007D522B">
        <w:rPr>
          <w:rFonts w:ascii="Cambria" w:hAnsi="Cambria"/>
          <w:sz w:val="24"/>
          <w:szCs w:val="24"/>
        </w:rPr>
        <w:t xml:space="preserve"> e-Savjetovanja, Ured za </w:t>
      </w:r>
      <w:r w:rsidR="006E564B" w:rsidRPr="007D522B">
        <w:rPr>
          <w:rFonts w:ascii="Cambria" w:hAnsi="Cambria"/>
          <w:sz w:val="24"/>
          <w:szCs w:val="24"/>
        </w:rPr>
        <w:t xml:space="preserve">zakonodavstvo </w:t>
      </w:r>
      <w:r w:rsidRPr="007D522B">
        <w:rPr>
          <w:rFonts w:ascii="Cambria" w:hAnsi="Cambria"/>
          <w:sz w:val="24"/>
          <w:szCs w:val="24"/>
        </w:rPr>
        <w:t>ima pristup statistici svih provedenih savjetovanja u sklopu</w:t>
      </w:r>
      <w:r w:rsidR="00492D25" w:rsidRPr="007D522B">
        <w:rPr>
          <w:rFonts w:ascii="Cambria" w:hAnsi="Cambria"/>
          <w:sz w:val="24"/>
          <w:szCs w:val="24"/>
        </w:rPr>
        <w:t xml:space="preserve"> portala</w:t>
      </w:r>
      <w:r w:rsidRPr="007D522B">
        <w:rPr>
          <w:rFonts w:ascii="Cambria" w:hAnsi="Cambria"/>
          <w:sz w:val="24"/>
          <w:szCs w:val="24"/>
          <w:vertAlign w:val="superscript"/>
        </w:rPr>
        <w:footnoteReference w:id="1"/>
      </w:r>
      <w:r w:rsidRPr="007D522B">
        <w:rPr>
          <w:rFonts w:ascii="Cambria" w:hAnsi="Cambria"/>
          <w:sz w:val="24"/>
          <w:szCs w:val="24"/>
        </w:rPr>
        <w:t xml:space="preserve">, a </w:t>
      </w:r>
      <w:r w:rsidR="00483F38">
        <w:rPr>
          <w:rFonts w:ascii="Cambria" w:hAnsi="Cambria"/>
          <w:sz w:val="24"/>
          <w:szCs w:val="24"/>
        </w:rPr>
        <w:t>Izvješće ujedno sadrži i podatke dostavljene od strane</w:t>
      </w:r>
      <w:r w:rsidRPr="007D522B">
        <w:rPr>
          <w:rFonts w:ascii="Cambria" w:hAnsi="Cambria"/>
          <w:sz w:val="24"/>
          <w:szCs w:val="24"/>
        </w:rPr>
        <w:t xml:space="preserve"> ministarstava, državnih ureda i državnih upravnih organizacija, Vladinih ureda</w:t>
      </w:r>
      <w:r w:rsidR="005760C4">
        <w:rPr>
          <w:rFonts w:ascii="Cambria" w:hAnsi="Cambria"/>
          <w:sz w:val="24"/>
          <w:szCs w:val="24"/>
        </w:rPr>
        <w:t xml:space="preserve"> i </w:t>
      </w:r>
      <w:r w:rsidRPr="007D522B">
        <w:rPr>
          <w:rFonts w:ascii="Cambria" w:hAnsi="Cambria"/>
          <w:sz w:val="24"/>
          <w:szCs w:val="24"/>
        </w:rPr>
        <w:t>agencija</w:t>
      </w:r>
      <w:r w:rsidR="00BD0B32">
        <w:rPr>
          <w:rFonts w:ascii="Cambria" w:hAnsi="Cambria"/>
          <w:sz w:val="24"/>
          <w:szCs w:val="24"/>
        </w:rPr>
        <w:t xml:space="preserve"> te pravni</w:t>
      </w:r>
      <w:r w:rsidR="00A03242">
        <w:rPr>
          <w:rFonts w:ascii="Cambria" w:hAnsi="Cambria"/>
          <w:sz w:val="24"/>
          <w:szCs w:val="24"/>
        </w:rPr>
        <w:t>h</w:t>
      </w:r>
      <w:r w:rsidR="00BD0B32">
        <w:rPr>
          <w:rFonts w:ascii="Cambria" w:hAnsi="Cambria"/>
          <w:sz w:val="24"/>
          <w:szCs w:val="24"/>
        </w:rPr>
        <w:t xml:space="preserve"> osoba s javnim ovlastima</w:t>
      </w:r>
      <w:r w:rsidRPr="007D522B">
        <w:rPr>
          <w:rFonts w:ascii="Cambria" w:hAnsi="Cambria"/>
          <w:sz w:val="24"/>
          <w:szCs w:val="24"/>
        </w:rPr>
        <w:t xml:space="preserve"> o savjetovanjima koja su provodili u 20</w:t>
      </w:r>
      <w:r w:rsidR="006D678B" w:rsidRPr="007D522B">
        <w:rPr>
          <w:rFonts w:ascii="Cambria" w:hAnsi="Cambria"/>
          <w:sz w:val="24"/>
          <w:szCs w:val="24"/>
        </w:rPr>
        <w:t>2</w:t>
      </w:r>
      <w:r w:rsidR="00483F38">
        <w:rPr>
          <w:rFonts w:ascii="Cambria" w:hAnsi="Cambria"/>
          <w:sz w:val="24"/>
          <w:szCs w:val="24"/>
        </w:rPr>
        <w:t>3</w:t>
      </w:r>
      <w:r w:rsidRPr="007D522B">
        <w:rPr>
          <w:rFonts w:ascii="Cambria" w:hAnsi="Cambria"/>
          <w:sz w:val="24"/>
          <w:szCs w:val="24"/>
        </w:rPr>
        <w:t xml:space="preserve">. godini izvan </w:t>
      </w:r>
      <w:r w:rsidR="00AF10C1" w:rsidRPr="007D522B">
        <w:rPr>
          <w:rFonts w:ascii="Cambria" w:hAnsi="Cambria"/>
          <w:sz w:val="24"/>
          <w:szCs w:val="24"/>
        </w:rPr>
        <w:t>portala</w:t>
      </w:r>
      <w:r w:rsidRPr="007D522B">
        <w:rPr>
          <w:rFonts w:ascii="Cambria" w:hAnsi="Cambria"/>
          <w:sz w:val="24"/>
          <w:szCs w:val="24"/>
        </w:rPr>
        <w:t xml:space="preserve"> e-Savjetovanja</w:t>
      </w:r>
      <w:r w:rsidRPr="007D522B">
        <w:rPr>
          <w:rFonts w:ascii="Cambria" w:hAnsi="Cambria"/>
          <w:sz w:val="24"/>
          <w:szCs w:val="24"/>
          <w:vertAlign w:val="superscript"/>
        </w:rPr>
        <w:footnoteReference w:id="2"/>
      </w:r>
      <w:r w:rsidRPr="007D522B">
        <w:rPr>
          <w:rFonts w:ascii="Cambria" w:hAnsi="Cambria"/>
          <w:sz w:val="24"/>
          <w:szCs w:val="24"/>
        </w:rPr>
        <w:t>.</w:t>
      </w:r>
    </w:p>
    <w:p w:rsidR="006A7AA1" w:rsidRDefault="00E06E14" w:rsidP="00036623">
      <w:pPr>
        <w:jc w:val="both"/>
        <w:rPr>
          <w:rFonts w:ascii="Cambria" w:hAnsi="Cambria"/>
          <w:sz w:val="24"/>
          <w:szCs w:val="24"/>
        </w:rPr>
      </w:pPr>
      <w:r w:rsidRPr="007D522B">
        <w:rPr>
          <w:rFonts w:ascii="Cambria" w:hAnsi="Cambria"/>
          <w:sz w:val="24"/>
          <w:szCs w:val="24"/>
        </w:rPr>
        <w:t>Sva tijela državne uprave</w:t>
      </w:r>
      <w:r w:rsidR="00AF10C1" w:rsidRPr="007D522B">
        <w:rPr>
          <w:rFonts w:ascii="Cambria" w:hAnsi="Cambria"/>
          <w:sz w:val="24"/>
          <w:szCs w:val="24"/>
        </w:rPr>
        <w:t xml:space="preserve"> </w:t>
      </w:r>
      <w:r w:rsidR="00483F38">
        <w:rPr>
          <w:rFonts w:ascii="Cambria" w:hAnsi="Cambria"/>
          <w:sz w:val="24"/>
          <w:szCs w:val="24"/>
        </w:rPr>
        <w:t xml:space="preserve">provodila su </w:t>
      </w:r>
      <w:r w:rsidR="00AF10C1" w:rsidRPr="007D522B">
        <w:rPr>
          <w:rFonts w:ascii="Cambria" w:hAnsi="Cambria"/>
          <w:sz w:val="24"/>
          <w:szCs w:val="24"/>
        </w:rPr>
        <w:t xml:space="preserve">savjetovanja putem portala e-Savjetovanja, </w:t>
      </w:r>
      <w:r w:rsidR="00483F38">
        <w:rPr>
          <w:rFonts w:ascii="Cambria" w:hAnsi="Cambria"/>
          <w:sz w:val="24"/>
          <w:szCs w:val="24"/>
        </w:rPr>
        <w:t xml:space="preserve">u skladu sa zakonskom obvezom, </w:t>
      </w:r>
      <w:r w:rsidR="00AF10C1" w:rsidRPr="007D522B">
        <w:rPr>
          <w:rFonts w:ascii="Cambria" w:hAnsi="Cambria"/>
          <w:sz w:val="24"/>
          <w:szCs w:val="24"/>
        </w:rPr>
        <w:t>dok je Hrvatska narodna banka provodila sva savjetovanja izvan portala e-Savjetovanja</w:t>
      </w:r>
      <w:r w:rsidR="00AF10C1" w:rsidRPr="007D522B">
        <w:rPr>
          <w:rFonts w:ascii="Cambria" w:hAnsi="Cambria"/>
        </w:rPr>
        <w:t xml:space="preserve">. </w:t>
      </w:r>
      <w:r w:rsidR="006A7AA1" w:rsidRPr="007D522B">
        <w:rPr>
          <w:rFonts w:ascii="Cambria" w:hAnsi="Cambria"/>
          <w:sz w:val="24"/>
          <w:szCs w:val="24"/>
        </w:rPr>
        <w:t xml:space="preserve">Popis </w:t>
      </w:r>
      <w:r w:rsidR="003E3A37">
        <w:rPr>
          <w:rFonts w:ascii="Cambria" w:hAnsi="Cambria"/>
          <w:sz w:val="24"/>
          <w:szCs w:val="24"/>
        </w:rPr>
        <w:t xml:space="preserve">tijela državne uprave i </w:t>
      </w:r>
      <w:r w:rsidR="00AA50E7" w:rsidRPr="007D522B">
        <w:rPr>
          <w:rFonts w:ascii="Cambria" w:hAnsi="Cambria"/>
          <w:sz w:val="24"/>
          <w:szCs w:val="24"/>
        </w:rPr>
        <w:t xml:space="preserve">državnih </w:t>
      </w:r>
      <w:r w:rsidR="006A7AA1" w:rsidRPr="007D522B">
        <w:rPr>
          <w:rFonts w:ascii="Cambria" w:hAnsi="Cambria"/>
          <w:sz w:val="24"/>
          <w:szCs w:val="24"/>
        </w:rPr>
        <w:t xml:space="preserve">tijela </w:t>
      </w:r>
      <w:r w:rsidR="001F013E">
        <w:rPr>
          <w:rFonts w:ascii="Cambria" w:hAnsi="Cambria"/>
          <w:sz w:val="24"/>
          <w:szCs w:val="24"/>
        </w:rPr>
        <w:t xml:space="preserve">koja provode svoja savjetovanja putem portala te </w:t>
      </w:r>
      <w:r w:rsidR="006A7AA1" w:rsidRPr="007D522B">
        <w:rPr>
          <w:rFonts w:ascii="Cambria" w:hAnsi="Cambria"/>
          <w:sz w:val="24"/>
          <w:szCs w:val="24"/>
        </w:rPr>
        <w:t xml:space="preserve">od kojih je tražena dostava podataka nalazi se u prilogu ovom Izvješću. </w:t>
      </w:r>
    </w:p>
    <w:p w:rsidR="006A5C7B" w:rsidRPr="007D522B" w:rsidRDefault="006A5C7B" w:rsidP="00036623">
      <w:pPr>
        <w:jc w:val="both"/>
        <w:rPr>
          <w:rFonts w:ascii="Cambria" w:hAnsi="Cambria"/>
          <w:sz w:val="24"/>
          <w:szCs w:val="24"/>
        </w:rPr>
      </w:pPr>
    </w:p>
    <w:p w:rsidR="008028F8" w:rsidRPr="007D522B" w:rsidRDefault="0083365D" w:rsidP="00E016E7">
      <w:pPr>
        <w:pStyle w:val="Heading2"/>
        <w:spacing w:after="120"/>
      </w:pPr>
      <w:bookmarkStart w:id="10" w:name="_Toc176169389"/>
      <w:r>
        <w:t>3</w:t>
      </w:r>
      <w:r w:rsidR="008028F8" w:rsidRPr="007D522B">
        <w:t xml:space="preserve">.1. </w:t>
      </w:r>
      <w:r w:rsidR="00015400" w:rsidRPr="007D522B">
        <w:t>Ukupan broj provedenih savjetovanja</w:t>
      </w:r>
      <w:bookmarkEnd w:id="10"/>
    </w:p>
    <w:p w:rsidR="00C952FD" w:rsidRPr="00483F38" w:rsidRDefault="00E05E60" w:rsidP="00A1351C">
      <w:pPr>
        <w:jc w:val="both"/>
        <w:rPr>
          <w:rFonts w:ascii="Cambria" w:hAnsi="Cambria"/>
          <w:b/>
          <w:highlight w:val="yellow"/>
        </w:rPr>
      </w:pPr>
      <w:r w:rsidRPr="007D522B">
        <w:rPr>
          <w:rFonts w:ascii="Cambria" w:hAnsi="Cambria"/>
          <w:sz w:val="24"/>
          <w:szCs w:val="24"/>
        </w:rPr>
        <w:t>Prema podacima iz Izvješća o provedbi savjetovanja, u 20</w:t>
      </w:r>
      <w:r w:rsidR="006D678B" w:rsidRPr="007D522B">
        <w:rPr>
          <w:rFonts w:ascii="Cambria" w:hAnsi="Cambria"/>
          <w:sz w:val="24"/>
          <w:szCs w:val="24"/>
        </w:rPr>
        <w:t>2</w:t>
      </w:r>
      <w:r w:rsidR="00483F38">
        <w:rPr>
          <w:rFonts w:ascii="Cambria" w:hAnsi="Cambria"/>
          <w:sz w:val="24"/>
          <w:szCs w:val="24"/>
        </w:rPr>
        <w:t>3</w:t>
      </w:r>
      <w:r w:rsidRPr="007D522B">
        <w:rPr>
          <w:rFonts w:ascii="Cambria" w:hAnsi="Cambria"/>
          <w:sz w:val="24"/>
          <w:szCs w:val="24"/>
        </w:rPr>
        <w:t xml:space="preserve">. </w:t>
      </w:r>
      <w:r w:rsidR="006D678B" w:rsidRPr="007D522B">
        <w:rPr>
          <w:rFonts w:ascii="Cambria" w:hAnsi="Cambria"/>
          <w:sz w:val="24"/>
          <w:szCs w:val="24"/>
        </w:rPr>
        <w:t xml:space="preserve">provedeno je ukupno </w:t>
      </w:r>
      <w:r w:rsidR="00483F38">
        <w:rPr>
          <w:rFonts w:ascii="Cambria" w:hAnsi="Cambria"/>
          <w:sz w:val="24"/>
          <w:szCs w:val="24"/>
          <w:u w:val="single"/>
        </w:rPr>
        <w:t>822</w:t>
      </w:r>
      <w:r w:rsidR="007D522B">
        <w:rPr>
          <w:rFonts w:ascii="Cambria" w:hAnsi="Cambria"/>
          <w:sz w:val="24"/>
          <w:szCs w:val="24"/>
          <w:u w:val="single"/>
        </w:rPr>
        <w:t xml:space="preserve"> </w:t>
      </w:r>
      <w:r w:rsidRPr="00BD0B32">
        <w:rPr>
          <w:rFonts w:ascii="Cambria" w:hAnsi="Cambria"/>
          <w:sz w:val="24"/>
          <w:szCs w:val="24"/>
        </w:rPr>
        <w:t>savjetovanj</w:t>
      </w:r>
      <w:r w:rsidR="00483F38" w:rsidRPr="00BD0B32">
        <w:rPr>
          <w:rFonts w:ascii="Cambria" w:hAnsi="Cambria"/>
          <w:sz w:val="24"/>
          <w:szCs w:val="24"/>
        </w:rPr>
        <w:t>a</w:t>
      </w:r>
      <w:r w:rsidR="003E3A37" w:rsidRPr="00BD0B32">
        <w:rPr>
          <w:rFonts w:ascii="Cambria" w:hAnsi="Cambria"/>
          <w:sz w:val="24"/>
          <w:szCs w:val="24"/>
        </w:rPr>
        <w:t xml:space="preserve"> </w:t>
      </w:r>
      <w:r w:rsidR="003E3A37" w:rsidRPr="003E3A37">
        <w:rPr>
          <w:rFonts w:ascii="Cambria" w:hAnsi="Cambria"/>
          <w:sz w:val="24"/>
          <w:szCs w:val="24"/>
        </w:rPr>
        <w:t xml:space="preserve">tijela državne </w:t>
      </w:r>
      <w:r w:rsidR="003E3A37" w:rsidRPr="008F20CB">
        <w:rPr>
          <w:rFonts w:ascii="Cambria" w:hAnsi="Cambria"/>
          <w:sz w:val="24"/>
          <w:szCs w:val="24"/>
        </w:rPr>
        <w:t>uprave</w:t>
      </w:r>
      <w:r w:rsidR="003E3A37" w:rsidRPr="000B1774">
        <w:rPr>
          <w:rFonts w:ascii="Cambria" w:hAnsi="Cambria"/>
          <w:sz w:val="24"/>
          <w:szCs w:val="24"/>
        </w:rPr>
        <w:t xml:space="preserve"> i</w:t>
      </w:r>
      <w:r w:rsidRPr="007D522B">
        <w:rPr>
          <w:rFonts w:ascii="Cambria" w:hAnsi="Cambria"/>
          <w:sz w:val="24"/>
          <w:szCs w:val="24"/>
        </w:rPr>
        <w:t xml:space="preserve"> </w:t>
      </w:r>
      <w:r w:rsidR="00AA50E7" w:rsidRPr="007D522B">
        <w:rPr>
          <w:rFonts w:ascii="Cambria" w:hAnsi="Cambria"/>
          <w:sz w:val="24"/>
          <w:szCs w:val="24"/>
        </w:rPr>
        <w:t>državnih tijela</w:t>
      </w:r>
      <w:r w:rsidR="006D678B" w:rsidRPr="007D522B">
        <w:rPr>
          <w:rFonts w:ascii="Cambria" w:hAnsi="Cambria"/>
          <w:sz w:val="24"/>
          <w:szCs w:val="24"/>
        </w:rPr>
        <w:t xml:space="preserve"> putem portala e-Savjetovanja</w:t>
      </w:r>
      <w:r w:rsidR="007934E1">
        <w:rPr>
          <w:rFonts w:ascii="Cambria" w:hAnsi="Cambria"/>
          <w:sz w:val="24"/>
          <w:szCs w:val="24"/>
        </w:rPr>
        <w:t xml:space="preserve"> te </w:t>
      </w:r>
      <w:r w:rsidR="00DD6FEF">
        <w:rPr>
          <w:rFonts w:ascii="Cambria" w:hAnsi="Cambria"/>
          <w:sz w:val="24"/>
          <w:szCs w:val="24"/>
        </w:rPr>
        <w:t>22</w:t>
      </w:r>
      <w:r w:rsidR="00DD6FEF" w:rsidRPr="00DD6FEF">
        <w:rPr>
          <w:rFonts w:ascii="Cambria" w:hAnsi="Cambria"/>
          <w:sz w:val="24"/>
          <w:szCs w:val="24"/>
        </w:rPr>
        <w:t xml:space="preserve"> savjetovanj</w:t>
      </w:r>
      <w:r w:rsidR="00DD6FEF">
        <w:rPr>
          <w:rFonts w:ascii="Cambria" w:hAnsi="Cambria"/>
          <w:sz w:val="24"/>
          <w:szCs w:val="24"/>
        </w:rPr>
        <w:t>a</w:t>
      </w:r>
      <w:r w:rsidR="00DD6FEF" w:rsidRPr="00DD6FEF">
        <w:rPr>
          <w:rFonts w:ascii="Cambria" w:hAnsi="Cambria"/>
          <w:sz w:val="24"/>
          <w:szCs w:val="24"/>
        </w:rPr>
        <w:t xml:space="preserve"> koje je provela Hrvatska narodna banka putem svoje internetske stranice</w:t>
      </w:r>
      <w:r w:rsidR="00DD6FEF">
        <w:rPr>
          <w:rFonts w:ascii="Cambria" w:hAnsi="Cambria"/>
          <w:sz w:val="24"/>
          <w:szCs w:val="24"/>
        </w:rPr>
        <w:t>.</w:t>
      </w:r>
      <w:r w:rsidR="007934E1">
        <w:rPr>
          <w:rFonts w:ascii="Cambria" w:hAnsi="Cambria"/>
          <w:sz w:val="24"/>
          <w:szCs w:val="24"/>
        </w:rPr>
        <w:t xml:space="preserve"> </w:t>
      </w:r>
      <w:r w:rsidR="00475734">
        <w:rPr>
          <w:rFonts w:ascii="Cambria" w:hAnsi="Cambria"/>
          <w:sz w:val="24"/>
          <w:szCs w:val="24"/>
        </w:rPr>
        <w:t>U točki 3.3. navedene su i Druge metode savjetovanja koje su tijela provodila izvan portala e-Savjetovanja.</w:t>
      </w:r>
    </w:p>
    <w:p w:rsidR="002651FD" w:rsidRDefault="002651FD" w:rsidP="00A1351C">
      <w:pPr>
        <w:jc w:val="both"/>
        <w:rPr>
          <w:rFonts w:ascii="Cambria" w:hAnsi="Cambria"/>
          <w:b/>
          <w:highlight w:val="yellow"/>
        </w:rPr>
      </w:pPr>
    </w:p>
    <w:p w:rsidR="002F77C5" w:rsidRDefault="002F77C5" w:rsidP="00A1351C">
      <w:pPr>
        <w:jc w:val="both"/>
        <w:rPr>
          <w:rFonts w:ascii="Cambria" w:hAnsi="Cambria"/>
          <w:b/>
          <w:highlight w:val="yellow"/>
        </w:rPr>
      </w:pPr>
    </w:p>
    <w:p w:rsidR="002F77C5" w:rsidRDefault="002F77C5" w:rsidP="00A1351C">
      <w:pPr>
        <w:jc w:val="both"/>
        <w:rPr>
          <w:rFonts w:ascii="Cambria" w:hAnsi="Cambria"/>
          <w:b/>
          <w:highlight w:val="yellow"/>
        </w:rPr>
      </w:pPr>
    </w:p>
    <w:p w:rsidR="002F77C5" w:rsidRDefault="002F77C5" w:rsidP="00A1351C">
      <w:pPr>
        <w:jc w:val="both"/>
        <w:rPr>
          <w:rFonts w:ascii="Cambria" w:hAnsi="Cambria"/>
          <w:b/>
          <w:highlight w:val="yellow"/>
        </w:rPr>
      </w:pPr>
    </w:p>
    <w:p w:rsidR="002F77C5" w:rsidRPr="0021729A" w:rsidRDefault="002F77C5" w:rsidP="00A1351C">
      <w:pPr>
        <w:jc w:val="both"/>
        <w:rPr>
          <w:rFonts w:ascii="Cambria" w:hAnsi="Cambria"/>
          <w:b/>
          <w:highlight w:val="yellow"/>
        </w:rPr>
      </w:pPr>
    </w:p>
    <w:p w:rsidR="006625FB" w:rsidRPr="006C71E2" w:rsidRDefault="006625FB" w:rsidP="00A1351C">
      <w:pPr>
        <w:jc w:val="both"/>
        <w:rPr>
          <w:rFonts w:ascii="Cambria" w:hAnsi="Cambria"/>
          <w:b/>
        </w:rPr>
      </w:pPr>
      <w:r w:rsidRPr="006C71E2">
        <w:rPr>
          <w:rFonts w:ascii="Cambria" w:hAnsi="Cambria"/>
          <w:b/>
        </w:rPr>
        <w:t xml:space="preserve">Grafički prikaz 1.: </w:t>
      </w:r>
      <w:r w:rsidR="00483F38">
        <w:rPr>
          <w:rFonts w:ascii="Cambria" w:hAnsi="Cambria"/>
          <w:b/>
        </w:rPr>
        <w:t>Broj</w:t>
      </w:r>
      <w:r w:rsidRPr="006C71E2">
        <w:rPr>
          <w:rFonts w:ascii="Cambria" w:hAnsi="Cambria"/>
          <w:b/>
        </w:rPr>
        <w:t xml:space="preserve"> provedenih savjetovanja s javnošću od 2012. do 20</w:t>
      </w:r>
      <w:r w:rsidR="006D678B" w:rsidRPr="006C71E2">
        <w:rPr>
          <w:rFonts w:ascii="Cambria" w:hAnsi="Cambria"/>
          <w:b/>
        </w:rPr>
        <w:t>2</w:t>
      </w:r>
      <w:r w:rsidR="00483F38">
        <w:rPr>
          <w:rFonts w:ascii="Cambria" w:hAnsi="Cambria"/>
          <w:b/>
        </w:rPr>
        <w:t>3</w:t>
      </w:r>
      <w:r w:rsidRPr="006C71E2">
        <w:rPr>
          <w:rFonts w:ascii="Cambria" w:hAnsi="Cambria"/>
          <w:b/>
        </w:rPr>
        <w:t>. godine</w:t>
      </w:r>
      <w:r w:rsidR="006C71E2" w:rsidRPr="006C71E2">
        <w:rPr>
          <w:rStyle w:val="FootnoteReference"/>
          <w:rFonts w:ascii="Cambria" w:hAnsi="Cambria"/>
          <w:b/>
        </w:rPr>
        <w:footnoteReference w:id="3"/>
      </w:r>
    </w:p>
    <w:p w:rsidR="006625FB" w:rsidRPr="0021729A" w:rsidRDefault="006625FB" w:rsidP="00A1351C">
      <w:pPr>
        <w:jc w:val="both"/>
        <w:rPr>
          <w:noProof/>
          <w:highlight w:val="yellow"/>
          <w:lang w:eastAsia="hr-HR"/>
        </w:rPr>
      </w:pPr>
    </w:p>
    <w:p w:rsidR="00861E9B" w:rsidRDefault="00483F38" w:rsidP="0026259B">
      <w:pPr>
        <w:ind w:left="142"/>
        <w:jc w:val="both"/>
        <w:rPr>
          <w:noProof/>
          <w:lang w:eastAsia="hr-HR"/>
        </w:rPr>
      </w:pPr>
      <w:r>
        <w:rPr>
          <w:noProof/>
        </w:rPr>
        <w:drawing>
          <wp:inline distT="0" distB="0" distL="0" distR="0" wp14:anchorId="38EFEF00" wp14:editId="1290AE83">
            <wp:extent cx="5943600" cy="3367405"/>
            <wp:effectExtent l="0" t="0" r="0" b="4445"/>
            <wp:docPr id="1" name="Chart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7BE2" w:rsidRDefault="00AF6922" w:rsidP="00A1351C">
      <w:pPr>
        <w:jc w:val="both"/>
        <w:rPr>
          <w:rFonts w:ascii="Cambria" w:hAnsi="Cambria"/>
          <w:sz w:val="24"/>
          <w:szCs w:val="24"/>
        </w:rPr>
      </w:pPr>
      <w:r>
        <w:rPr>
          <w:rFonts w:ascii="Cambria" w:hAnsi="Cambria"/>
          <w:sz w:val="24"/>
          <w:szCs w:val="24"/>
        </w:rPr>
        <w:t>N</w:t>
      </w:r>
      <w:r w:rsidR="00652865" w:rsidRPr="00652865">
        <w:rPr>
          <w:rFonts w:ascii="Cambria" w:hAnsi="Cambria"/>
          <w:sz w:val="24"/>
          <w:szCs w:val="24"/>
        </w:rPr>
        <w:t>ajveći broj savjetovanja s javnošću tijekom 20</w:t>
      </w:r>
      <w:r w:rsidR="00167594">
        <w:rPr>
          <w:rFonts w:ascii="Cambria" w:hAnsi="Cambria"/>
          <w:sz w:val="24"/>
          <w:szCs w:val="24"/>
        </w:rPr>
        <w:t>2</w:t>
      </w:r>
      <w:r w:rsidR="00483F38">
        <w:rPr>
          <w:rFonts w:ascii="Cambria" w:hAnsi="Cambria"/>
          <w:sz w:val="24"/>
          <w:szCs w:val="24"/>
        </w:rPr>
        <w:t>3</w:t>
      </w:r>
      <w:r w:rsidR="00652865" w:rsidRPr="00652865">
        <w:rPr>
          <w:rFonts w:ascii="Cambria" w:hAnsi="Cambria"/>
          <w:sz w:val="24"/>
          <w:szCs w:val="24"/>
        </w:rPr>
        <w:t>.</w:t>
      </w:r>
      <w:r w:rsidR="00B73660">
        <w:rPr>
          <w:rFonts w:ascii="Cambria" w:hAnsi="Cambria"/>
          <w:sz w:val="24"/>
          <w:szCs w:val="24"/>
        </w:rPr>
        <w:t xml:space="preserve"> godine</w:t>
      </w:r>
      <w:r w:rsidR="00652865" w:rsidRPr="00652865">
        <w:rPr>
          <w:rFonts w:ascii="Cambria" w:hAnsi="Cambria"/>
          <w:sz w:val="24"/>
          <w:szCs w:val="24"/>
        </w:rPr>
        <w:t>, provelo je Ministarstvo poljoprivrede (</w:t>
      </w:r>
      <w:r w:rsidR="00EB7BE2">
        <w:rPr>
          <w:rFonts w:ascii="Cambria" w:hAnsi="Cambria"/>
          <w:sz w:val="24"/>
          <w:szCs w:val="24"/>
        </w:rPr>
        <w:t>1</w:t>
      </w:r>
      <w:r w:rsidR="00483F38">
        <w:rPr>
          <w:rFonts w:ascii="Cambria" w:hAnsi="Cambria"/>
          <w:sz w:val="24"/>
          <w:szCs w:val="24"/>
        </w:rPr>
        <w:t>82</w:t>
      </w:r>
      <w:r w:rsidR="00652865" w:rsidRPr="00652865">
        <w:rPr>
          <w:rFonts w:ascii="Cambria" w:hAnsi="Cambria"/>
          <w:sz w:val="24"/>
          <w:szCs w:val="24"/>
        </w:rPr>
        <w:t xml:space="preserve">), kao i ranijih godina, </w:t>
      </w:r>
      <w:r w:rsidR="00E561DF">
        <w:rPr>
          <w:rFonts w:ascii="Cambria" w:hAnsi="Cambria"/>
          <w:sz w:val="24"/>
          <w:szCs w:val="24"/>
        </w:rPr>
        <w:t>a potom i resori koji su protekle godine pripremili veliki broj akata -</w:t>
      </w:r>
      <w:r w:rsidR="00652865" w:rsidRPr="00652865">
        <w:rPr>
          <w:rFonts w:ascii="Cambria" w:hAnsi="Cambria"/>
          <w:sz w:val="24"/>
          <w:szCs w:val="24"/>
        </w:rPr>
        <w:t xml:space="preserve"> </w:t>
      </w:r>
      <w:r w:rsidR="00483F38" w:rsidRPr="00652865">
        <w:rPr>
          <w:rFonts w:ascii="Cambria" w:hAnsi="Cambria"/>
          <w:sz w:val="24"/>
          <w:szCs w:val="24"/>
        </w:rPr>
        <w:t xml:space="preserve">Ministarstvo </w:t>
      </w:r>
      <w:r w:rsidR="00483F38">
        <w:rPr>
          <w:rFonts w:ascii="Cambria" w:hAnsi="Cambria"/>
          <w:sz w:val="24"/>
          <w:szCs w:val="24"/>
        </w:rPr>
        <w:t>financija</w:t>
      </w:r>
      <w:r w:rsidR="00483F38" w:rsidRPr="00652865">
        <w:rPr>
          <w:rFonts w:ascii="Cambria" w:hAnsi="Cambria"/>
          <w:sz w:val="24"/>
          <w:szCs w:val="24"/>
        </w:rPr>
        <w:t xml:space="preserve"> (</w:t>
      </w:r>
      <w:r w:rsidR="00483F38">
        <w:rPr>
          <w:rFonts w:ascii="Cambria" w:hAnsi="Cambria"/>
          <w:sz w:val="24"/>
          <w:szCs w:val="24"/>
        </w:rPr>
        <w:t>92</w:t>
      </w:r>
      <w:r w:rsidR="00483F38" w:rsidRPr="00652865">
        <w:rPr>
          <w:rFonts w:ascii="Cambria" w:hAnsi="Cambria"/>
          <w:sz w:val="24"/>
          <w:szCs w:val="24"/>
        </w:rPr>
        <w:t>)</w:t>
      </w:r>
      <w:r w:rsidR="00483F38">
        <w:rPr>
          <w:rFonts w:ascii="Cambria" w:hAnsi="Cambria"/>
          <w:sz w:val="24"/>
          <w:szCs w:val="24"/>
        </w:rPr>
        <w:t xml:space="preserve">, </w:t>
      </w:r>
      <w:r w:rsidR="00652865" w:rsidRPr="00652865">
        <w:rPr>
          <w:rFonts w:ascii="Cambria" w:hAnsi="Cambria"/>
          <w:sz w:val="24"/>
          <w:szCs w:val="24"/>
        </w:rPr>
        <w:t xml:space="preserve">Ministarstvo </w:t>
      </w:r>
      <w:r>
        <w:rPr>
          <w:rFonts w:ascii="Cambria" w:hAnsi="Cambria"/>
          <w:sz w:val="24"/>
          <w:szCs w:val="24"/>
        </w:rPr>
        <w:t>pravosuđa i uprave</w:t>
      </w:r>
      <w:r w:rsidR="00EB7BE2">
        <w:rPr>
          <w:rFonts w:ascii="Cambria" w:hAnsi="Cambria"/>
          <w:sz w:val="24"/>
          <w:szCs w:val="24"/>
        </w:rPr>
        <w:t xml:space="preserve"> (</w:t>
      </w:r>
      <w:r w:rsidR="00483F38">
        <w:rPr>
          <w:rFonts w:ascii="Cambria" w:hAnsi="Cambria"/>
          <w:sz w:val="24"/>
          <w:szCs w:val="24"/>
        </w:rPr>
        <w:t>67</w:t>
      </w:r>
      <w:r w:rsidR="00EB7BE2">
        <w:rPr>
          <w:rFonts w:ascii="Cambria" w:hAnsi="Cambria"/>
          <w:sz w:val="24"/>
          <w:szCs w:val="24"/>
        </w:rPr>
        <w:t>)</w:t>
      </w:r>
      <w:r w:rsidR="00652865" w:rsidRPr="00652865">
        <w:rPr>
          <w:rFonts w:ascii="Cambria" w:hAnsi="Cambria"/>
          <w:sz w:val="24"/>
          <w:szCs w:val="24"/>
        </w:rPr>
        <w:t xml:space="preserve">, </w:t>
      </w:r>
      <w:r w:rsidR="00EB7BE2">
        <w:rPr>
          <w:rFonts w:ascii="Cambria" w:hAnsi="Cambria"/>
          <w:sz w:val="24"/>
          <w:szCs w:val="24"/>
        </w:rPr>
        <w:t xml:space="preserve">Ministarstvo </w:t>
      </w:r>
      <w:r w:rsidR="00483F38">
        <w:rPr>
          <w:rFonts w:ascii="Cambria" w:hAnsi="Cambria"/>
          <w:sz w:val="24"/>
          <w:szCs w:val="24"/>
        </w:rPr>
        <w:t>znanosti i obrazovanja (67).</w:t>
      </w:r>
      <w:r w:rsidR="00D662E9">
        <w:rPr>
          <w:rFonts w:ascii="Cambria" w:hAnsi="Cambria"/>
          <w:sz w:val="24"/>
          <w:szCs w:val="24"/>
        </w:rPr>
        <w:t xml:space="preserve"> </w:t>
      </w:r>
    </w:p>
    <w:p w:rsidR="00252CFA" w:rsidRDefault="00252CFA" w:rsidP="00A1351C">
      <w:pPr>
        <w:jc w:val="both"/>
        <w:rPr>
          <w:rFonts w:ascii="Cambria" w:hAnsi="Cambria"/>
          <w:sz w:val="24"/>
          <w:szCs w:val="24"/>
        </w:rPr>
      </w:pPr>
    </w:p>
    <w:p w:rsidR="006A5C7B" w:rsidRDefault="006A5C7B">
      <w:pPr>
        <w:rPr>
          <w:rFonts w:ascii="Cambria" w:hAnsi="Cambria"/>
          <w:b/>
          <w:i/>
        </w:rPr>
      </w:pPr>
    </w:p>
    <w:p w:rsidR="006A5C7B" w:rsidRDefault="006A5C7B">
      <w:pPr>
        <w:rPr>
          <w:rFonts w:ascii="Cambria" w:hAnsi="Cambria"/>
          <w:b/>
          <w:i/>
        </w:rPr>
      </w:pPr>
    </w:p>
    <w:p w:rsidR="006A5C7B" w:rsidRDefault="006A5C7B">
      <w:pPr>
        <w:rPr>
          <w:rFonts w:ascii="Cambria" w:hAnsi="Cambria"/>
          <w:b/>
          <w:i/>
        </w:rPr>
      </w:pPr>
    </w:p>
    <w:p w:rsidR="000A0DB8" w:rsidRDefault="000A0DB8">
      <w:pPr>
        <w:rPr>
          <w:rFonts w:ascii="Cambria" w:hAnsi="Cambria"/>
          <w:b/>
          <w:i/>
        </w:rPr>
      </w:pPr>
    </w:p>
    <w:p w:rsidR="000A0DB8" w:rsidRDefault="000A0DB8">
      <w:pPr>
        <w:rPr>
          <w:rFonts w:ascii="Cambria" w:hAnsi="Cambria"/>
          <w:b/>
          <w:i/>
        </w:rPr>
      </w:pPr>
    </w:p>
    <w:p w:rsidR="000A0DB8" w:rsidRDefault="000A0DB8">
      <w:pPr>
        <w:rPr>
          <w:rFonts w:ascii="Cambria" w:hAnsi="Cambria"/>
          <w:b/>
          <w:i/>
        </w:rPr>
      </w:pPr>
    </w:p>
    <w:p w:rsidR="000A0DB8" w:rsidRDefault="000A0DB8">
      <w:pPr>
        <w:rPr>
          <w:rFonts w:ascii="Cambria" w:hAnsi="Cambria"/>
          <w:b/>
          <w:i/>
        </w:rPr>
      </w:pPr>
    </w:p>
    <w:p w:rsidR="000A0DB8" w:rsidRDefault="000A0DB8">
      <w:pPr>
        <w:rPr>
          <w:rFonts w:ascii="Cambria" w:hAnsi="Cambria"/>
          <w:b/>
          <w:i/>
        </w:rPr>
      </w:pPr>
    </w:p>
    <w:p w:rsidR="006A5C7B" w:rsidRDefault="006A5C7B">
      <w:pPr>
        <w:rPr>
          <w:rFonts w:ascii="Cambria" w:hAnsi="Cambria"/>
          <w:b/>
          <w:i/>
        </w:rPr>
      </w:pPr>
    </w:p>
    <w:p w:rsidR="004727BD" w:rsidRPr="00E016E7" w:rsidRDefault="005E366D">
      <w:pPr>
        <w:rPr>
          <w:rFonts w:ascii="Cambria" w:hAnsi="Cambria"/>
          <w:b/>
        </w:rPr>
      </w:pPr>
      <w:r w:rsidRPr="00E016E7">
        <w:rPr>
          <w:rFonts w:ascii="Cambria" w:hAnsi="Cambria"/>
          <w:b/>
          <w:i/>
        </w:rPr>
        <w:t>Tablica 1.</w:t>
      </w:r>
      <w:r w:rsidRPr="00E016E7">
        <w:rPr>
          <w:rFonts w:ascii="Cambria" w:hAnsi="Cambria"/>
          <w:b/>
        </w:rPr>
        <w:t xml:space="preserve">: Tijela koja su provodila savjetovanja </w:t>
      </w:r>
      <w:r w:rsidR="00762EBE">
        <w:rPr>
          <w:rFonts w:ascii="Cambria" w:hAnsi="Cambria"/>
          <w:b/>
        </w:rPr>
        <w:t>s</w:t>
      </w:r>
      <w:r w:rsidRPr="00E016E7">
        <w:rPr>
          <w:rFonts w:ascii="Cambria" w:hAnsi="Cambria"/>
          <w:b/>
        </w:rPr>
        <w:t xml:space="preserve"> javnošću u 20</w:t>
      </w:r>
      <w:r w:rsidR="00D93272">
        <w:rPr>
          <w:rFonts w:ascii="Cambria" w:hAnsi="Cambria"/>
          <w:b/>
        </w:rPr>
        <w:t>2</w:t>
      </w:r>
      <w:r w:rsidR="00483F38">
        <w:rPr>
          <w:rFonts w:ascii="Cambria" w:hAnsi="Cambria"/>
          <w:b/>
        </w:rPr>
        <w:t>3</w:t>
      </w:r>
      <w:r w:rsidRPr="00E016E7">
        <w:rPr>
          <w:rFonts w:ascii="Cambria" w:hAnsi="Cambria"/>
          <w:b/>
        </w:rPr>
        <w:t>. godini</w:t>
      </w:r>
    </w:p>
    <w:p w:rsidR="0054381A" w:rsidRPr="0054381A" w:rsidRDefault="0054381A" w:rsidP="001362A5">
      <w:pPr>
        <w:rPr>
          <w:rFonts w:ascii="Cambria" w:hAnsi="Cambria"/>
          <w:highlight w:val="yellow"/>
        </w:rPr>
      </w:pPr>
    </w:p>
    <w:p w:rsidR="008C2344" w:rsidRDefault="00483F38" w:rsidP="001362A5">
      <w:pPr>
        <w:rPr>
          <w:rFonts w:ascii="Cambria" w:hAnsi="Cambria"/>
          <w:b/>
          <w:i/>
        </w:rPr>
      </w:pPr>
      <w:r>
        <w:rPr>
          <w:rFonts w:ascii="Cambria" w:hAnsi="Cambria"/>
          <w:b/>
          <w:i/>
          <w:noProof/>
        </w:rPr>
        <w:drawing>
          <wp:inline distT="0" distB="0" distL="0" distR="0" wp14:anchorId="1C7EE030" wp14:editId="5B3DAF72">
            <wp:extent cx="6786000" cy="414720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6000" cy="4147200"/>
                    </a:xfrm>
                    <a:prstGeom prst="rect">
                      <a:avLst/>
                    </a:prstGeom>
                    <a:noFill/>
                  </pic:spPr>
                </pic:pic>
              </a:graphicData>
            </a:graphic>
          </wp:inline>
        </w:drawing>
      </w:r>
    </w:p>
    <w:p w:rsidR="008C2344" w:rsidRDefault="008C2344" w:rsidP="001362A5">
      <w:pPr>
        <w:rPr>
          <w:rFonts w:ascii="Cambria" w:hAnsi="Cambria"/>
          <w:b/>
          <w:i/>
        </w:rPr>
      </w:pPr>
    </w:p>
    <w:p w:rsidR="008C2344" w:rsidRDefault="008C2344" w:rsidP="001362A5">
      <w:pPr>
        <w:rPr>
          <w:rFonts w:ascii="Cambria" w:hAnsi="Cambria"/>
          <w:b/>
          <w:i/>
        </w:rPr>
      </w:pPr>
    </w:p>
    <w:p w:rsidR="008C2344" w:rsidRDefault="008C2344" w:rsidP="001362A5">
      <w:pPr>
        <w:rPr>
          <w:rFonts w:ascii="Cambria" w:hAnsi="Cambria"/>
          <w:b/>
          <w:i/>
        </w:rPr>
      </w:pPr>
    </w:p>
    <w:p w:rsidR="008C2344" w:rsidRDefault="008C2344" w:rsidP="001362A5">
      <w:pPr>
        <w:rPr>
          <w:rFonts w:ascii="Cambria" w:hAnsi="Cambria"/>
          <w:b/>
          <w:i/>
        </w:rPr>
      </w:pPr>
    </w:p>
    <w:p w:rsidR="008C2344" w:rsidRDefault="008C2344" w:rsidP="001362A5">
      <w:pPr>
        <w:rPr>
          <w:rFonts w:ascii="Cambria" w:hAnsi="Cambria"/>
          <w:b/>
          <w:i/>
        </w:rPr>
      </w:pPr>
    </w:p>
    <w:p w:rsidR="008C2344" w:rsidRDefault="008C2344" w:rsidP="001362A5">
      <w:pPr>
        <w:rPr>
          <w:rFonts w:ascii="Cambria" w:hAnsi="Cambria"/>
          <w:b/>
          <w:i/>
        </w:rPr>
      </w:pPr>
    </w:p>
    <w:p w:rsidR="006A5C7B" w:rsidRDefault="006A5C7B" w:rsidP="001362A5">
      <w:pPr>
        <w:rPr>
          <w:rFonts w:ascii="Cambria" w:hAnsi="Cambria"/>
          <w:b/>
          <w:i/>
        </w:rPr>
      </w:pPr>
    </w:p>
    <w:p w:rsidR="006A5C7B" w:rsidRDefault="006A5C7B" w:rsidP="001362A5">
      <w:pPr>
        <w:rPr>
          <w:rFonts w:ascii="Cambria" w:hAnsi="Cambria"/>
          <w:b/>
          <w:i/>
        </w:rPr>
      </w:pPr>
    </w:p>
    <w:p w:rsidR="008C2344" w:rsidRDefault="008C2344" w:rsidP="001362A5">
      <w:pPr>
        <w:rPr>
          <w:rFonts w:ascii="Cambria" w:hAnsi="Cambria"/>
          <w:b/>
          <w:i/>
        </w:rPr>
      </w:pPr>
    </w:p>
    <w:p w:rsidR="00BF7776" w:rsidRDefault="00BF7776" w:rsidP="001362A5">
      <w:pPr>
        <w:rPr>
          <w:rFonts w:ascii="Cambria" w:hAnsi="Cambria"/>
          <w:b/>
          <w:i/>
        </w:rPr>
      </w:pPr>
    </w:p>
    <w:p w:rsidR="00BF7776" w:rsidRDefault="00BF7776" w:rsidP="001362A5">
      <w:pPr>
        <w:rPr>
          <w:rFonts w:ascii="Cambria" w:hAnsi="Cambria"/>
          <w:b/>
          <w:i/>
        </w:rPr>
      </w:pPr>
    </w:p>
    <w:p w:rsidR="00BF7776" w:rsidRDefault="00BF7776" w:rsidP="001362A5">
      <w:pPr>
        <w:rPr>
          <w:rFonts w:ascii="Cambria" w:hAnsi="Cambria"/>
          <w:b/>
          <w:i/>
        </w:rPr>
      </w:pPr>
    </w:p>
    <w:p w:rsidR="000D1C81" w:rsidRPr="004B5004" w:rsidRDefault="001362A5" w:rsidP="001362A5">
      <w:pPr>
        <w:rPr>
          <w:rFonts w:ascii="Cambria" w:hAnsi="Cambria"/>
          <w:b/>
        </w:rPr>
      </w:pPr>
      <w:r w:rsidRPr="004B5004">
        <w:rPr>
          <w:rFonts w:ascii="Cambria" w:hAnsi="Cambria"/>
          <w:b/>
        </w:rPr>
        <w:t xml:space="preserve">Grafički prikaz 2.: Vrste propisa </w:t>
      </w:r>
    </w:p>
    <w:p w:rsidR="000D1C81" w:rsidRDefault="000D1C81" w:rsidP="001362A5">
      <w:pPr>
        <w:rPr>
          <w:rFonts w:ascii="Cambria" w:hAnsi="Cambria"/>
          <w:b/>
        </w:rPr>
      </w:pPr>
    </w:p>
    <w:p w:rsidR="001362A5" w:rsidRPr="00892C4B" w:rsidRDefault="002B123B" w:rsidP="001362A5">
      <w:pPr>
        <w:rPr>
          <w:rFonts w:ascii="Cambria" w:hAnsi="Cambria"/>
          <w:b/>
        </w:rPr>
      </w:pPr>
      <w:r>
        <w:rPr>
          <w:noProof/>
        </w:rPr>
        <w:drawing>
          <wp:inline distT="0" distB="0" distL="0" distR="0" wp14:anchorId="40989693" wp14:editId="25FA6456">
            <wp:extent cx="5943600" cy="3989070"/>
            <wp:effectExtent l="0" t="0" r="0" b="11430"/>
            <wp:docPr id="4" name="Chart 4">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62A5" w:rsidRDefault="001362A5">
      <w:pPr>
        <w:rPr>
          <w:rFonts w:ascii="Cambria" w:hAnsi="Cambria"/>
          <w:sz w:val="24"/>
          <w:szCs w:val="24"/>
        </w:rPr>
      </w:pPr>
    </w:p>
    <w:p w:rsidR="001362A5" w:rsidRDefault="001362A5" w:rsidP="00A12A33">
      <w:pPr>
        <w:spacing w:line="256" w:lineRule="auto"/>
        <w:jc w:val="both"/>
        <w:rPr>
          <w:rFonts w:ascii="Cambria" w:eastAsia="Calibri" w:hAnsi="Cambria" w:cs="Calibri"/>
          <w:sz w:val="24"/>
          <w:szCs w:val="24"/>
        </w:rPr>
      </w:pPr>
      <w:bookmarkStart w:id="11" w:name="_Hlk168388138"/>
      <w:r w:rsidRPr="002B123B">
        <w:rPr>
          <w:rFonts w:ascii="Cambria" w:eastAsia="Calibri" w:hAnsi="Cambria" w:cs="Calibri"/>
          <w:sz w:val="24"/>
          <w:szCs w:val="24"/>
        </w:rPr>
        <w:t>U 20</w:t>
      </w:r>
      <w:r w:rsidR="000D1C81" w:rsidRPr="002B123B">
        <w:rPr>
          <w:rFonts w:ascii="Cambria" w:eastAsia="Calibri" w:hAnsi="Cambria" w:cs="Calibri"/>
          <w:sz w:val="24"/>
          <w:szCs w:val="24"/>
        </w:rPr>
        <w:t>2</w:t>
      </w:r>
      <w:r w:rsidR="002B123B" w:rsidRPr="002B123B">
        <w:rPr>
          <w:rFonts w:ascii="Cambria" w:eastAsia="Calibri" w:hAnsi="Cambria" w:cs="Calibri"/>
          <w:sz w:val="24"/>
          <w:szCs w:val="24"/>
        </w:rPr>
        <w:t>3</w:t>
      </w:r>
      <w:r w:rsidRPr="002B123B">
        <w:rPr>
          <w:rFonts w:ascii="Cambria" w:eastAsia="Calibri" w:hAnsi="Cambria" w:cs="Calibri"/>
          <w:sz w:val="24"/>
          <w:szCs w:val="24"/>
        </w:rPr>
        <w:t>. od ukupnog broja provedenih savjetovanja</w:t>
      </w:r>
      <w:r w:rsidR="000D1C81" w:rsidRPr="002B123B">
        <w:rPr>
          <w:rFonts w:ascii="Cambria" w:eastAsia="Calibri" w:hAnsi="Cambria" w:cs="Calibri"/>
          <w:sz w:val="24"/>
          <w:szCs w:val="24"/>
        </w:rPr>
        <w:t>,</w:t>
      </w:r>
      <w:r w:rsidRPr="002B123B">
        <w:rPr>
          <w:rFonts w:ascii="Cambria" w:eastAsia="Calibri" w:hAnsi="Cambria" w:cs="Calibri"/>
          <w:sz w:val="24"/>
          <w:szCs w:val="24"/>
        </w:rPr>
        <w:t xml:space="preserve"> njih </w:t>
      </w:r>
      <w:r w:rsidR="002B123B">
        <w:rPr>
          <w:rFonts w:ascii="Cambria" w:eastAsia="Calibri" w:hAnsi="Cambria" w:cs="Calibri"/>
          <w:sz w:val="24"/>
          <w:szCs w:val="24"/>
        </w:rPr>
        <w:t>446</w:t>
      </w:r>
      <w:r w:rsidR="000D1C81" w:rsidRPr="002B123B">
        <w:rPr>
          <w:rFonts w:ascii="Cambria" w:eastAsia="Calibri" w:hAnsi="Cambria" w:cs="Calibri"/>
          <w:sz w:val="24"/>
          <w:szCs w:val="24"/>
        </w:rPr>
        <w:t xml:space="preserve"> </w:t>
      </w:r>
      <w:r w:rsidRPr="002B123B">
        <w:rPr>
          <w:rFonts w:ascii="Cambria" w:eastAsia="Calibri" w:hAnsi="Cambria" w:cs="Calibri"/>
          <w:sz w:val="24"/>
          <w:szCs w:val="24"/>
        </w:rPr>
        <w:t xml:space="preserve">se odnosilo na pravilnike, </w:t>
      </w:r>
      <w:r w:rsidR="002B123B">
        <w:rPr>
          <w:rFonts w:ascii="Cambria" w:eastAsia="Calibri" w:hAnsi="Cambria" w:cs="Calibri"/>
          <w:sz w:val="24"/>
          <w:szCs w:val="24"/>
        </w:rPr>
        <w:t xml:space="preserve">248 </w:t>
      </w:r>
      <w:r w:rsidRPr="002B123B">
        <w:rPr>
          <w:rFonts w:ascii="Cambria" w:eastAsia="Calibri" w:hAnsi="Cambria" w:cs="Calibri"/>
          <w:sz w:val="24"/>
          <w:szCs w:val="24"/>
        </w:rPr>
        <w:t xml:space="preserve">na zakonske akte, </w:t>
      </w:r>
      <w:r w:rsidR="002B123B">
        <w:rPr>
          <w:rFonts w:ascii="Cambria" w:eastAsia="Calibri" w:hAnsi="Cambria" w:cs="Calibri"/>
          <w:sz w:val="24"/>
          <w:szCs w:val="24"/>
        </w:rPr>
        <w:t>52</w:t>
      </w:r>
      <w:r w:rsidR="000D1C81" w:rsidRPr="002B123B">
        <w:rPr>
          <w:rFonts w:ascii="Cambria" w:eastAsia="Calibri" w:hAnsi="Cambria" w:cs="Calibri"/>
          <w:sz w:val="24"/>
          <w:szCs w:val="24"/>
        </w:rPr>
        <w:t xml:space="preserve"> na </w:t>
      </w:r>
      <w:r w:rsidR="005760C4">
        <w:rPr>
          <w:rFonts w:ascii="Cambria" w:eastAsia="Calibri" w:hAnsi="Cambria" w:cs="Calibri"/>
          <w:sz w:val="24"/>
          <w:szCs w:val="24"/>
        </w:rPr>
        <w:t>u</w:t>
      </w:r>
      <w:r w:rsidR="000D1C81" w:rsidRPr="002B123B">
        <w:rPr>
          <w:rFonts w:ascii="Cambria" w:eastAsia="Calibri" w:hAnsi="Cambria" w:cs="Calibri"/>
          <w:sz w:val="24"/>
          <w:szCs w:val="24"/>
        </w:rPr>
        <w:t>redbe, 3</w:t>
      </w:r>
      <w:r w:rsidR="002B123B">
        <w:rPr>
          <w:rFonts w:ascii="Cambria" w:eastAsia="Calibri" w:hAnsi="Cambria" w:cs="Calibri"/>
          <w:sz w:val="24"/>
          <w:szCs w:val="24"/>
        </w:rPr>
        <w:t>1</w:t>
      </w:r>
      <w:r w:rsidR="00510241" w:rsidRPr="002B123B">
        <w:rPr>
          <w:rFonts w:ascii="Cambria" w:eastAsia="Calibri" w:hAnsi="Cambria" w:cs="Calibri"/>
          <w:sz w:val="24"/>
          <w:szCs w:val="24"/>
        </w:rPr>
        <w:t xml:space="preserve"> savjetovanj</w:t>
      </w:r>
      <w:r w:rsidR="002B123B">
        <w:rPr>
          <w:rFonts w:ascii="Cambria" w:eastAsia="Calibri" w:hAnsi="Cambria" w:cs="Calibri"/>
          <w:sz w:val="24"/>
          <w:szCs w:val="24"/>
        </w:rPr>
        <w:t>e</w:t>
      </w:r>
      <w:r w:rsidR="00510241" w:rsidRPr="002B123B">
        <w:rPr>
          <w:rFonts w:ascii="Cambria" w:eastAsia="Calibri" w:hAnsi="Cambria" w:cs="Calibri"/>
          <w:sz w:val="24"/>
          <w:szCs w:val="24"/>
        </w:rPr>
        <w:t xml:space="preserve"> na odluke</w:t>
      </w:r>
      <w:r w:rsidR="005760C4">
        <w:rPr>
          <w:rFonts w:ascii="Cambria" w:eastAsia="Calibri" w:hAnsi="Cambria" w:cs="Calibri"/>
          <w:sz w:val="24"/>
          <w:szCs w:val="24"/>
        </w:rPr>
        <w:t xml:space="preserve">, </w:t>
      </w:r>
      <w:r w:rsidR="002B123B" w:rsidRPr="002B123B">
        <w:rPr>
          <w:rFonts w:ascii="Cambria" w:eastAsia="Calibri" w:hAnsi="Cambria" w:cs="Calibri"/>
          <w:sz w:val="24"/>
          <w:szCs w:val="24"/>
        </w:rPr>
        <w:t>108</w:t>
      </w:r>
      <w:r w:rsidR="000B1774">
        <w:rPr>
          <w:rStyle w:val="FootnoteReference"/>
          <w:rFonts w:ascii="Cambria" w:eastAsia="Calibri" w:hAnsi="Cambria" w:cs="Calibri"/>
          <w:sz w:val="24"/>
          <w:szCs w:val="24"/>
        </w:rPr>
        <w:footnoteReference w:id="4"/>
      </w:r>
      <w:r w:rsidR="002B123B" w:rsidRPr="002B123B">
        <w:rPr>
          <w:rFonts w:ascii="Cambria" w:eastAsia="Calibri" w:hAnsi="Cambria" w:cs="Calibri"/>
          <w:sz w:val="24"/>
          <w:szCs w:val="24"/>
        </w:rPr>
        <w:t xml:space="preserve"> na akte u vezi s procjenom učinaka propisa </w:t>
      </w:r>
      <w:r w:rsidR="000D1C81" w:rsidRPr="002B123B">
        <w:rPr>
          <w:rFonts w:ascii="Cambria" w:eastAsia="Calibri" w:hAnsi="Cambria" w:cs="Calibri"/>
          <w:sz w:val="24"/>
          <w:szCs w:val="24"/>
        </w:rPr>
        <w:t xml:space="preserve">te </w:t>
      </w:r>
      <w:r w:rsidR="002B123B">
        <w:rPr>
          <w:rFonts w:ascii="Cambria" w:eastAsia="Calibri" w:hAnsi="Cambria" w:cs="Calibri"/>
          <w:sz w:val="24"/>
          <w:szCs w:val="24"/>
        </w:rPr>
        <w:t>19</w:t>
      </w:r>
      <w:r w:rsidR="00BF7776" w:rsidRPr="002B123B">
        <w:rPr>
          <w:rFonts w:ascii="Cambria" w:eastAsia="Calibri" w:hAnsi="Cambria" w:cs="Calibri"/>
          <w:sz w:val="24"/>
          <w:szCs w:val="24"/>
        </w:rPr>
        <w:t xml:space="preserve"> </w:t>
      </w:r>
      <w:r w:rsidR="00A530CA" w:rsidRPr="002B123B">
        <w:rPr>
          <w:rFonts w:ascii="Cambria" w:eastAsia="Calibri" w:hAnsi="Cambria" w:cs="Calibri"/>
          <w:sz w:val="24"/>
          <w:szCs w:val="24"/>
        </w:rPr>
        <w:t>savjetovanja</w:t>
      </w:r>
      <w:r w:rsidR="000D1C81" w:rsidRPr="002B123B">
        <w:rPr>
          <w:rFonts w:ascii="Cambria" w:eastAsia="Calibri" w:hAnsi="Cambria" w:cs="Calibri"/>
          <w:sz w:val="24"/>
          <w:szCs w:val="24"/>
        </w:rPr>
        <w:t xml:space="preserve"> na ostale akte</w:t>
      </w:r>
      <w:r w:rsidRPr="002B123B">
        <w:rPr>
          <w:rFonts w:ascii="Cambria" w:eastAsia="Calibri" w:hAnsi="Cambria" w:cs="Calibri"/>
          <w:sz w:val="24"/>
          <w:szCs w:val="24"/>
        </w:rPr>
        <w:t xml:space="preserve">. </w:t>
      </w:r>
      <w:r w:rsidR="00A530CA" w:rsidRPr="002B123B">
        <w:rPr>
          <w:rFonts w:ascii="Cambria" w:eastAsia="Calibri" w:hAnsi="Cambria" w:cs="Calibri"/>
          <w:sz w:val="24"/>
          <w:szCs w:val="24"/>
        </w:rPr>
        <w:t>Udio Pravilnika u ukupnom broju savjetovanja</w:t>
      </w:r>
      <w:r w:rsidR="002F77C5">
        <w:rPr>
          <w:rFonts w:ascii="Cambria" w:eastAsia="Calibri" w:hAnsi="Cambria" w:cs="Calibri"/>
          <w:sz w:val="24"/>
          <w:szCs w:val="24"/>
        </w:rPr>
        <w:t xml:space="preserve"> za vrste propisa</w:t>
      </w:r>
      <w:r w:rsidR="00A530CA" w:rsidRPr="002B123B">
        <w:rPr>
          <w:rFonts w:ascii="Cambria" w:eastAsia="Calibri" w:hAnsi="Cambria" w:cs="Calibri"/>
          <w:sz w:val="24"/>
          <w:szCs w:val="24"/>
        </w:rPr>
        <w:t xml:space="preserve"> </w:t>
      </w:r>
      <w:r w:rsidR="002B123B">
        <w:rPr>
          <w:rFonts w:ascii="Cambria" w:eastAsia="Calibri" w:hAnsi="Cambria" w:cs="Calibri"/>
          <w:sz w:val="24"/>
          <w:szCs w:val="24"/>
        </w:rPr>
        <w:t>kontinuirano je najviši.</w:t>
      </w:r>
      <w:r w:rsidR="00BF7776" w:rsidRPr="002B123B">
        <w:rPr>
          <w:rFonts w:ascii="Cambria" w:eastAsia="Calibri" w:hAnsi="Cambria" w:cs="Calibri"/>
          <w:sz w:val="24"/>
          <w:szCs w:val="24"/>
        </w:rPr>
        <w:t xml:space="preserve"> </w:t>
      </w:r>
    </w:p>
    <w:p w:rsidR="002F77C5" w:rsidRPr="00A12A33" w:rsidRDefault="002F77C5" w:rsidP="00A12A33">
      <w:pPr>
        <w:spacing w:line="256" w:lineRule="auto"/>
        <w:jc w:val="both"/>
        <w:rPr>
          <w:rFonts w:ascii="Cambria" w:eastAsia="Calibri" w:hAnsi="Cambria" w:cs="Calibri"/>
          <w:sz w:val="24"/>
          <w:szCs w:val="24"/>
        </w:rPr>
      </w:pPr>
    </w:p>
    <w:p w:rsidR="008028F8" w:rsidRDefault="0083365D" w:rsidP="00E016E7">
      <w:pPr>
        <w:pStyle w:val="Heading2"/>
        <w:spacing w:after="120"/>
      </w:pPr>
      <w:bookmarkStart w:id="12" w:name="_Toc176169390"/>
      <w:bookmarkEnd w:id="11"/>
      <w:r>
        <w:lastRenderedPageBreak/>
        <w:t>3</w:t>
      </w:r>
      <w:r w:rsidR="008028F8" w:rsidRPr="00AB758C">
        <w:t>.2.</w:t>
      </w:r>
      <w:r w:rsidR="00650040" w:rsidRPr="00AB758C">
        <w:t xml:space="preserve"> Sastav radnih skupina</w:t>
      </w:r>
      <w:bookmarkEnd w:id="12"/>
    </w:p>
    <w:p w:rsidR="008E3662" w:rsidRPr="00393BA4" w:rsidRDefault="008E3662" w:rsidP="008E3662">
      <w:pPr>
        <w:spacing w:line="257" w:lineRule="auto"/>
        <w:jc w:val="both"/>
        <w:rPr>
          <w:rFonts w:ascii="Cambria" w:eastAsia="Calibri" w:hAnsi="Cambria" w:cs="Calibri"/>
          <w:sz w:val="24"/>
          <w:szCs w:val="24"/>
        </w:rPr>
      </w:pPr>
      <w:r w:rsidRPr="00393BA4">
        <w:rPr>
          <w:rFonts w:ascii="Cambria" w:eastAsia="Calibri" w:hAnsi="Cambria" w:cs="Calibri"/>
          <w:sz w:val="24"/>
          <w:szCs w:val="24"/>
        </w:rPr>
        <w:t>Zakon o pravu na pristup informacijama u članku 1</w:t>
      </w:r>
      <w:r w:rsidR="005760C4">
        <w:rPr>
          <w:rFonts w:ascii="Cambria" w:eastAsia="Calibri" w:hAnsi="Cambria" w:cs="Calibri"/>
          <w:sz w:val="24"/>
          <w:szCs w:val="24"/>
        </w:rPr>
        <w:t>1</w:t>
      </w:r>
      <w:r w:rsidRPr="00393BA4">
        <w:rPr>
          <w:rFonts w:ascii="Cambria" w:eastAsia="Calibri" w:hAnsi="Cambria" w:cs="Calibri"/>
          <w:sz w:val="24"/>
          <w:szCs w:val="24"/>
        </w:rPr>
        <w:t xml:space="preserve">. stavku 2. propisuje da savjetovanje s javnošću tijela državne uprave provode preko Središnjeg državnog internetskog portala za savjetovanja s javnošću, a druga državna tijela, jedinice lokalne </w:t>
      </w:r>
      <w:r w:rsidR="00910E59" w:rsidRPr="00393BA4">
        <w:rPr>
          <w:rFonts w:ascii="Cambria" w:eastAsia="Calibri" w:hAnsi="Cambria" w:cs="Calibri"/>
          <w:sz w:val="24"/>
          <w:szCs w:val="24"/>
        </w:rPr>
        <w:t>i</w:t>
      </w:r>
      <w:r w:rsidRPr="00393BA4">
        <w:rPr>
          <w:rFonts w:ascii="Cambria" w:eastAsia="Calibri" w:hAnsi="Cambria" w:cs="Calibri"/>
          <w:sz w:val="24"/>
          <w:szCs w:val="24"/>
        </w:rPr>
        <w:t xml:space="preserve"> područne (regionalne) samouprave i pravne osobe s javnim ovlastima preko internetske stranice ili preko </w:t>
      </w:r>
      <w:r w:rsidR="00297DE0" w:rsidRPr="00393BA4">
        <w:rPr>
          <w:rFonts w:ascii="Cambria" w:eastAsia="Calibri" w:hAnsi="Cambria" w:cs="Calibri"/>
          <w:sz w:val="24"/>
          <w:szCs w:val="24"/>
        </w:rPr>
        <w:t>portala e-Savjetovanja</w:t>
      </w:r>
      <w:r w:rsidRPr="00393BA4">
        <w:rPr>
          <w:rFonts w:ascii="Cambria" w:eastAsia="Calibri" w:hAnsi="Cambria" w:cs="Calibri"/>
          <w:sz w:val="24"/>
          <w:szCs w:val="24"/>
        </w:rPr>
        <w:t>, objavom nacrta propisa, općeg akta odnosno drugog dokumenta, s obrazloženjem razloga i ciljeva koji se žele postići donošenjem propisa, akta ili drugog dokumenta, sastavom radne skupine koja je izradila nacrt ako je odlukom čelnika tijela radna skupina osnovana te pozivom javnosti da dostavi svoje prijedloge i mišljenja.</w:t>
      </w:r>
    </w:p>
    <w:p w:rsidR="008E3662" w:rsidRPr="00393BA4" w:rsidRDefault="008E3662" w:rsidP="008E3662">
      <w:pPr>
        <w:spacing w:line="257" w:lineRule="auto"/>
        <w:jc w:val="both"/>
        <w:rPr>
          <w:rFonts w:ascii="Cambria" w:eastAsia="Calibri" w:hAnsi="Cambria" w:cs="Calibri"/>
          <w:sz w:val="24"/>
          <w:szCs w:val="24"/>
        </w:rPr>
      </w:pPr>
      <w:r w:rsidRPr="00393BA4">
        <w:rPr>
          <w:rFonts w:ascii="Cambria" w:eastAsia="Calibri" w:hAnsi="Cambria" w:cs="Calibri"/>
          <w:sz w:val="24"/>
          <w:szCs w:val="24"/>
        </w:rPr>
        <w:t>Radi osiguranja pune transparentnosti postupka izrade i donošenja zakona, drugih propisa i akata te jačanja povjerenja građana u institucije i kako bi javnost imala sve relevantne informacije u vezi s izradom određenog akta već na samom početku postupka savjetovanja, propisano je da se zajedno s objavom akta o kojem se provodi savjetovanje, javnost upozna i sa sastavom radne skupine koja je akt izradila.</w:t>
      </w:r>
    </w:p>
    <w:p w:rsidR="008E3662" w:rsidRPr="00393BA4" w:rsidRDefault="008E3662" w:rsidP="008E3662">
      <w:pPr>
        <w:spacing w:line="257" w:lineRule="auto"/>
        <w:jc w:val="both"/>
        <w:rPr>
          <w:rFonts w:ascii="Cambria" w:eastAsia="Calibri" w:hAnsi="Cambria" w:cs="Calibri"/>
          <w:sz w:val="24"/>
          <w:szCs w:val="24"/>
        </w:rPr>
      </w:pPr>
      <w:r w:rsidRPr="00393BA4">
        <w:rPr>
          <w:rFonts w:ascii="Cambria" w:eastAsia="Calibri" w:hAnsi="Cambria" w:cs="Calibri"/>
          <w:sz w:val="24"/>
          <w:szCs w:val="24"/>
        </w:rPr>
        <w:t xml:space="preserve">Objavljivanje sastava radnih skupina i povjerenstava za izradu zakona, drugih propisa  i akata u sklopu savjetovanja.gov. </w:t>
      </w:r>
      <w:proofErr w:type="spellStart"/>
      <w:r w:rsidRPr="00393BA4">
        <w:rPr>
          <w:rFonts w:ascii="Cambria" w:eastAsia="Calibri" w:hAnsi="Cambria" w:cs="Calibri"/>
          <w:sz w:val="24"/>
          <w:szCs w:val="24"/>
        </w:rPr>
        <w:t>hr</w:t>
      </w:r>
      <w:proofErr w:type="spellEnd"/>
      <w:r w:rsidRPr="00393BA4">
        <w:rPr>
          <w:rFonts w:ascii="Cambria" w:eastAsia="Calibri" w:hAnsi="Cambria" w:cs="Calibri"/>
          <w:sz w:val="24"/>
          <w:szCs w:val="24"/>
        </w:rPr>
        <w:t xml:space="preserve"> predviđeno je i Akcijskim planom za razdoblje 2022. – 2024. uz Strategiju suzbijanja korupcije 2020. - 2030. kao jedna od aktivnosti vezanih uz savjetovanje s javnošću i nadogradnju sustava ,,e-Savjetovanja" s novim funkcionalnostima i njegovom proširenju u primjeni na razini jedinica lokalne i područne (regionalne) samouprave.</w:t>
      </w:r>
    </w:p>
    <w:p w:rsidR="008E32F9" w:rsidRDefault="008E3662" w:rsidP="005760C4">
      <w:pPr>
        <w:spacing w:line="257" w:lineRule="auto"/>
        <w:jc w:val="both"/>
        <w:rPr>
          <w:rFonts w:ascii="Cambria" w:eastAsia="Calibri" w:hAnsi="Cambria" w:cs="Calibri"/>
          <w:sz w:val="24"/>
          <w:szCs w:val="24"/>
        </w:rPr>
      </w:pPr>
      <w:r w:rsidRPr="00393BA4">
        <w:rPr>
          <w:rFonts w:ascii="Cambria" w:eastAsia="Calibri" w:hAnsi="Cambria" w:cs="Calibri"/>
          <w:sz w:val="24"/>
          <w:szCs w:val="24"/>
        </w:rPr>
        <w:t xml:space="preserve">Naime, </w:t>
      </w:r>
      <w:r w:rsidR="005760C4">
        <w:rPr>
          <w:rFonts w:ascii="Cambria" w:eastAsia="Calibri" w:hAnsi="Cambria" w:cs="Calibri"/>
          <w:sz w:val="24"/>
          <w:szCs w:val="24"/>
        </w:rPr>
        <w:t>na mrežnoj stranici portala e-Savjetovanja</w:t>
      </w:r>
      <w:r w:rsidRPr="00393BA4">
        <w:rPr>
          <w:rFonts w:ascii="Cambria" w:eastAsia="Calibri" w:hAnsi="Cambria" w:cs="Calibri"/>
          <w:sz w:val="24"/>
          <w:szCs w:val="24"/>
        </w:rPr>
        <w:t xml:space="preserve">, nalazi se </w:t>
      </w:r>
      <w:proofErr w:type="spellStart"/>
      <w:r w:rsidRPr="00393BA4">
        <w:rPr>
          <w:rFonts w:ascii="Cambria" w:eastAsia="Calibri" w:hAnsi="Cambria" w:cs="Calibri"/>
          <w:sz w:val="24"/>
          <w:szCs w:val="24"/>
        </w:rPr>
        <w:t>podstranica</w:t>
      </w:r>
      <w:proofErr w:type="spellEnd"/>
      <w:r w:rsidRPr="00393BA4">
        <w:rPr>
          <w:rFonts w:ascii="Cambria" w:eastAsia="Calibri" w:hAnsi="Cambria" w:cs="Calibri"/>
          <w:sz w:val="24"/>
          <w:szCs w:val="24"/>
        </w:rPr>
        <w:t xml:space="preserve"> „Baza savjetodavnih tijela“ putem koje je moguće pretraživati stalna i povremena (</w:t>
      </w:r>
      <w:r w:rsidRPr="00393BA4">
        <w:rPr>
          <w:rFonts w:ascii="Cambria" w:eastAsia="Calibri" w:hAnsi="Cambria" w:cs="Calibri"/>
          <w:i/>
          <w:sz w:val="24"/>
          <w:szCs w:val="24"/>
        </w:rPr>
        <w:t xml:space="preserve">ad </w:t>
      </w:r>
      <w:proofErr w:type="spellStart"/>
      <w:r w:rsidRPr="00393BA4">
        <w:rPr>
          <w:rFonts w:ascii="Cambria" w:eastAsia="Calibri" w:hAnsi="Cambria" w:cs="Calibri"/>
          <w:i/>
          <w:sz w:val="24"/>
          <w:szCs w:val="24"/>
        </w:rPr>
        <w:t>hoc</w:t>
      </w:r>
      <w:proofErr w:type="spellEnd"/>
      <w:r w:rsidRPr="00393BA4">
        <w:rPr>
          <w:rFonts w:ascii="Cambria" w:eastAsia="Calibri" w:hAnsi="Cambria" w:cs="Calibri"/>
          <w:sz w:val="24"/>
          <w:szCs w:val="24"/>
        </w:rPr>
        <w:t xml:space="preserve">) radna i savjetodavna tijela državnih tijela. </w:t>
      </w:r>
      <w:r w:rsidR="005760C4" w:rsidRPr="005760C4">
        <w:rPr>
          <w:rFonts w:ascii="Cambria" w:eastAsia="Calibri" w:hAnsi="Cambria" w:cs="Calibri"/>
          <w:sz w:val="24"/>
          <w:szCs w:val="24"/>
        </w:rPr>
        <w:t xml:space="preserve">Ako je odlukom čelnika tijela za izradu propisa imenovana radna skupina ili drugo savjetodavno tijelo, uz propis se na portalu e-Savjetovanja objavljuje sastav tijela koje ga je izradilo. Podatke o sastavu radne skupine stručni nositelj istovremeno dostavlja Uredu </w:t>
      </w:r>
      <w:r w:rsidR="005552EB">
        <w:rPr>
          <w:rFonts w:ascii="Cambria" w:eastAsia="Calibri" w:hAnsi="Cambria" w:cs="Calibri"/>
          <w:sz w:val="24"/>
          <w:szCs w:val="24"/>
        </w:rPr>
        <w:t xml:space="preserve">za zakonodavstvo </w:t>
      </w:r>
      <w:r w:rsidR="005760C4" w:rsidRPr="005760C4">
        <w:rPr>
          <w:rFonts w:ascii="Cambria" w:eastAsia="Calibri" w:hAnsi="Cambria" w:cs="Calibri"/>
          <w:sz w:val="24"/>
          <w:szCs w:val="24"/>
        </w:rPr>
        <w:t xml:space="preserve">radi objave na mrežnoj stranici e-Savjetovanja u </w:t>
      </w:r>
      <w:r w:rsidR="005760C4">
        <w:rPr>
          <w:rFonts w:ascii="Cambria" w:eastAsia="Calibri" w:hAnsi="Cambria" w:cs="Calibri"/>
          <w:sz w:val="24"/>
          <w:szCs w:val="24"/>
        </w:rPr>
        <w:t>B</w:t>
      </w:r>
      <w:r w:rsidR="005760C4" w:rsidRPr="005760C4">
        <w:rPr>
          <w:rFonts w:ascii="Cambria" w:eastAsia="Calibri" w:hAnsi="Cambria" w:cs="Calibri"/>
          <w:sz w:val="24"/>
          <w:szCs w:val="24"/>
        </w:rPr>
        <w:t>azi savjetodavnih tijela.</w:t>
      </w:r>
    </w:p>
    <w:p w:rsidR="004B5004" w:rsidRDefault="004B5004" w:rsidP="005760C4">
      <w:pPr>
        <w:spacing w:line="257" w:lineRule="auto"/>
        <w:jc w:val="both"/>
        <w:rPr>
          <w:rFonts w:ascii="Cambria" w:eastAsia="Calibri" w:hAnsi="Cambria" w:cs="Calibri"/>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CA7C5A" w:rsidRDefault="00CA7C5A" w:rsidP="005760C4">
      <w:pPr>
        <w:spacing w:line="257" w:lineRule="auto"/>
        <w:jc w:val="both"/>
        <w:rPr>
          <w:rFonts w:ascii="Cambria" w:eastAsia="Calibri" w:hAnsi="Cambria" w:cs="Calibri"/>
          <w:b/>
          <w:sz w:val="24"/>
          <w:szCs w:val="24"/>
        </w:rPr>
      </w:pPr>
    </w:p>
    <w:p w:rsidR="004B5004" w:rsidRDefault="004B5004" w:rsidP="005760C4">
      <w:pPr>
        <w:spacing w:line="257" w:lineRule="auto"/>
        <w:jc w:val="both"/>
        <w:rPr>
          <w:rFonts w:ascii="Cambria" w:eastAsia="Calibri" w:hAnsi="Cambria" w:cs="Calibri"/>
          <w:b/>
          <w:sz w:val="24"/>
          <w:szCs w:val="24"/>
        </w:rPr>
      </w:pPr>
      <w:r w:rsidRPr="004B5004">
        <w:rPr>
          <w:rFonts w:ascii="Cambria" w:eastAsia="Calibri" w:hAnsi="Cambria" w:cs="Calibri"/>
          <w:b/>
          <w:sz w:val="24"/>
          <w:szCs w:val="24"/>
        </w:rPr>
        <w:lastRenderedPageBreak/>
        <w:t>Grafički prikaz 3.: Sastav radnih skupina</w:t>
      </w:r>
    </w:p>
    <w:p w:rsidR="004B5004" w:rsidRDefault="00A62F1C" w:rsidP="005760C4">
      <w:pPr>
        <w:spacing w:line="257" w:lineRule="auto"/>
        <w:jc w:val="both"/>
        <w:rPr>
          <w:rFonts w:ascii="Cambria" w:eastAsia="Calibri" w:hAnsi="Cambria" w:cs="Calibri"/>
          <w:b/>
          <w:sz w:val="24"/>
          <w:szCs w:val="24"/>
        </w:rPr>
      </w:pPr>
      <w:r>
        <w:rPr>
          <w:noProof/>
        </w:rPr>
        <w:drawing>
          <wp:inline distT="0" distB="0" distL="0" distR="0" wp14:anchorId="7B60F9BA" wp14:editId="446DBC8C">
            <wp:extent cx="5943600" cy="3882390"/>
            <wp:effectExtent l="0" t="0" r="0" b="3810"/>
            <wp:docPr id="6" name="Chart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5004" w:rsidRDefault="004B5004" w:rsidP="005760C4">
      <w:pPr>
        <w:spacing w:line="257" w:lineRule="auto"/>
        <w:jc w:val="both"/>
        <w:rPr>
          <w:rFonts w:ascii="Cambria" w:eastAsia="Calibri" w:hAnsi="Cambria" w:cs="Calibri"/>
          <w:sz w:val="24"/>
          <w:szCs w:val="24"/>
        </w:rPr>
      </w:pPr>
    </w:p>
    <w:p w:rsidR="004B5004" w:rsidRDefault="004B5004" w:rsidP="005760C4">
      <w:pPr>
        <w:spacing w:line="257" w:lineRule="auto"/>
        <w:jc w:val="both"/>
        <w:rPr>
          <w:rFonts w:ascii="Cambria" w:eastAsia="Calibri" w:hAnsi="Cambria" w:cs="Calibri"/>
          <w:sz w:val="24"/>
          <w:szCs w:val="24"/>
        </w:rPr>
      </w:pPr>
      <w:r w:rsidRPr="004B5004">
        <w:rPr>
          <w:rFonts w:ascii="Cambria" w:eastAsia="Calibri" w:hAnsi="Cambria" w:cs="Calibri"/>
          <w:sz w:val="24"/>
          <w:szCs w:val="24"/>
        </w:rPr>
        <w:t xml:space="preserve">Prema podacima koje je prikupio </w:t>
      </w:r>
      <w:r>
        <w:rPr>
          <w:rFonts w:ascii="Cambria" w:eastAsia="Calibri" w:hAnsi="Cambria" w:cs="Calibri"/>
          <w:sz w:val="24"/>
          <w:szCs w:val="24"/>
        </w:rPr>
        <w:t>Ured za zakonodavstvo, radne skupine za izradu propisa u 2023. godine sastojale su se većim dijelom od državnih službenika (2</w:t>
      </w:r>
      <w:r w:rsidR="00A62F1C">
        <w:rPr>
          <w:rFonts w:ascii="Cambria" w:eastAsia="Calibri" w:hAnsi="Cambria" w:cs="Calibri"/>
          <w:sz w:val="24"/>
          <w:szCs w:val="24"/>
        </w:rPr>
        <w:t>204</w:t>
      </w:r>
      <w:r>
        <w:rPr>
          <w:rFonts w:ascii="Cambria" w:eastAsia="Calibri" w:hAnsi="Cambria" w:cs="Calibri"/>
          <w:sz w:val="24"/>
          <w:szCs w:val="24"/>
        </w:rPr>
        <w:t>). Uz državne službenike, u radnim skupinama je sudjelovalo 1174 predstavnika javnosti, od čega najviše predstavnika akademske zajednice (221)</w:t>
      </w:r>
      <w:r w:rsidR="00A62F1C">
        <w:rPr>
          <w:rFonts w:ascii="Cambria" w:eastAsia="Calibri" w:hAnsi="Cambria" w:cs="Calibri"/>
          <w:sz w:val="24"/>
          <w:szCs w:val="24"/>
        </w:rPr>
        <w:t xml:space="preserve"> i</w:t>
      </w:r>
      <w:r>
        <w:rPr>
          <w:rFonts w:ascii="Cambria" w:eastAsia="Calibri" w:hAnsi="Cambria" w:cs="Calibri"/>
          <w:sz w:val="24"/>
          <w:szCs w:val="24"/>
        </w:rPr>
        <w:t xml:space="preserve"> ustanova (202)</w:t>
      </w:r>
      <w:r w:rsidR="00A62F1C">
        <w:rPr>
          <w:rFonts w:ascii="Cambria" w:eastAsia="Calibri" w:hAnsi="Cambria" w:cs="Calibri"/>
          <w:sz w:val="24"/>
          <w:szCs w:val="24"/>
        </w:rPr>
        <w:t>.</w:t>
      </w:r>
    </w:p>
    <w:p w:rsidR="004B5004" w:rsidRPr="004B5004" w:rsidRDefault="004B5004" w:rsidP="005760C4">
      <w:pPr>
        <w:spacing w:line="257" w:lineRule="auto"/>
        <w:jc w:val="both"/>
        <w:rPr>
          <w:rFonts w:ascii="Cambria" w:eastAsia="Calibri" w:hAnsi="Cambria" w:cs="Calibri"/>
          <w:sz w:val="24"/>
          <w:szCs w:val="24"/>
        </w:rPr>
      </w:pPr>
    </w:p>
    <w:p w:rsidR="00650040" w:rsidRDefault="0083365D" w:rsidP="0046680F">
      <w:pPr>
        <w:pStyle w:val="Heading2"/>
        <w:spacing w:after="120"/>
      </w:pPr>
      <w:bookmarkStart w:id="13" w:name="_Toc176169391"/>
      <w:r>
        <w:t>3</w:t>
      </w:r>
      <w:r w:rsidR="00650040" w:rsidRPr="00AB758C">
        <w:t>.3. Metode savjetovanja</w:t>
      </w:r>
      <w:bookmarkEnd w:id="13"/>
    </w:p>
    <w:p w:rsidR="00A446B7" w:rsidRDefault="0001234B" w:rsidP="0001234B">
      <w:pPr>
        <w:jc w:val="both"/>
        <w:rPr>
          <w:rFonts w:ascii="Cambria" w:hAnsi="Cambria"/>
          <w:sz w:val="24"/>
          <w:szCs w:val="24"/>
        </w:rPr>
      </w:pPr>
      <w:r w:rsidRPr="0093354A">
        <w:rPr>
          <w:rFonts w:ascii="Cambria" w:hAnsi="Cambria"/>
          <w:sz w:val="24"/>
          <w:szCs w:val="24"/>
        </w:rPr>
        <w:t>U 20</w:t>
      </w:r>
      <w:r w:rsidR="00D96D9A" w:rsidRPr="0093354A">
        <w:rPr>
          <w:rFonts w:ascii="Cambria" w:hAnsi="Cambria"/>
          <w:sz w:val="24"/>
          <w:szCs w:val="24"/>
        </w:rPr>
        <w:t>2</w:t>
      </w:r>
      <w:r w:rsidR="00A837D6">
        <w:rPr>
          <w:rFonts w:ascii="Cambria" w:hAnsi="Cambria"/>
          <w:sz w:val="24"/>
          <w:szCs w:val="24"/>
        </w:rPr>
        <w:t>3</w:t>
      </w:r>
      <w:r w:rsidRPr="0093354A">
        <w:rPr>
          <w:rFonts w:ascii="Cambria" w:hAnsi="Cambria"/>
          <w:sz w:val="24"/>
          <w:szCs w:val="24"/>
        </w:rPr>
        <w:t xml:space="preserve">. primarna metoda savjetovanja </w:t>
      </w:r>
      <w:r w:rsidR="0093354A">
        <w:rPr>
          <w:rFonts w:ascii="Cambria" w:hAnsi="Cambria"/>
          <w:sz w:val="24"/>
          <w:szCs w:val="24"/>
        </w:rPr>
        <w:t>bilo je</w:t>
      </w:r>
      <w:r w:rsidR="00D96D9A" w:rsidRPr="0093354A">
        <w:rPr>
          <w:rFonts w:ascii="Cambria" w:hAnsi="Cambria"/>
          <w:sz w:val="24"/>
          <w:szCs w:val="24"/>
        </w:rPr>
        <w:t xml:space="preserve"> savjetovanje putem portala e-</w:t>
      </w:r>
      <w:r w:rsidR="00E06E14" w:rsidRPr="0093354A">
        <w:rPr>
          <w:rFonts w:ascii="Cambria" w:hAnsi="Cambria"/>
          <w:sz w:val="24"/>
          <w:szCs w:val="24"/>
        </w:rPr>
        <w:t>S</w:t>
      </w:r>
      <w:r w:rsidR="00D96D9A" w:rsidRPr="0093354A">
        <w:rPr>
          <w:rFonts w:ascii="Cambria" w:hAnsi="Cambria"/>
          <w:sz w:val="24"/>
          <w:szCs w:val="24"/>
        </w:rPr>
        <w:t>avjetovanja,</w:t>
      </w:r>
      <w:r w:rsidRPr="0093354A">
        <w:rPr>
          <w:rFonts w:ascii="Cambria" w:hAnsi="Cambria"/>
          <w:sz w:val="24"/>
          <w:szCs w:val="24"/>
        </w:rPr>
        <w:t xml:space="preserve"> što je i </w:t>
      </w:r>
      <w:r w:rsidR="00E105BF" w:rsidRPr="0093354A">
        <w:rPr>
          <w:rFonts w:ascii="Cambria" w:hAnsi="Cambria"/>
          <w:sz w:val="24"/>
          <w:szCs w:val="24"/>
        </w:rPr>
        <w:t xml:space="preserve">očekivano </w:t>
      </w:r>
      <w:r w:rsidRPr="0093354A">
        <w:rPr>
          <w:rFonts w:ascii="Cambria" w:hAnsi="Cambria"/>
          <w:sz w:val="24"/>
          <w:szCs w:val="24"/>
        </w:rPr>
        <w:t xml:space="preserve">imajući u vidu obvezu korištenja središnjeg portala za savjetovanja za </w:t>
      </w:r>
      <w:r w:rsidR="003E3A37">
        <w:rPr>
          <w:rFonts w:ascii="Cambria" w:hAnsi="Cambria"/>
          <w:sz w:val="24"/>
          <w:szCs w:val="24"/>
        </w:rPr>
        <w:t xml:space="preserve">tijela državne uprave i </w:t>
      </w:r>
      <w:r w:rsidR="00AA50E7" w:rsidRPr="0093354A">
        <w:rPr>
          <w:rFonts w:ascii="Cambria" w:hAnsi="Cambria"/>
          <w:sz w:val="24"/>
          <w:szCs w:val="24"/>
        </w:rPr>
        <w:t>državna tijela</w:t>
      </w:r>
      <w:r w:rsidRPr="0093354A">
        <w:rPr>
          <w:rFonts w:ascii="Cambria" w:hAnsi="Cambria"/>
          <w:sz w:val="24"/>
          <w:szCs w:val="24"/>
        </w:rPr>
        <w:t xml:space="preserve">. </w:t>
      </w:r>
    </w:p>
    <w:p w:rsidR="000A0DB8" w:rsidRDefault="0001234B" w:rsidP="000A0DB8">
      <w:pPr>
        <w:jc w:val="both"/>
        <w:rPr>
          <w:rFonts w:ascii="Cambria" w:hAnsi="Cambria"/>
          <w:sz w:val="24"/>
          <w:szCs w:val="24"/>
        </w:rPr>
      </w:pPr>
      <w:r w:rsidRPr="00A446B7">
        <w:rPr>
          <w:rFonts w:ascii="Cambria" w:hAnsi="Cambria"/>
          <w:sz w:val="24"/>
          <w:szCs w:val="24"/>
        </w:rPr>
        <w:t xml:space="preserve">Ovdje treba napomenuti da obveza provedbe savjetovanja putem portala e-Savjetovanja ne isključuje korištenje i drugih metoda savjetovanja u svrhu </w:t>
      </w:r>
      <w:r w:rsidR="0046680F" w:rsidRPr="00A446B7">
        <w:rPr>
          <w:rFonts w:ascii="Cambria" w:hAnsi="Cambria"/>
          <w:sz w:val="24"/>
          <w:szCs w:val="24"/>
        </w:rPr>
        <w:t>uključivanja</w:t>
      </w:r>
      <w:r w:rsidRPr="00A446B7">
        <w:rPr>
          <w:rFonts w:ascii="Cambria" w:hAnsi="Cambria"/>
          <w:sz w:val="24"/>
          <w:szCs w:val="24"/>
        </w:rPr>
        <w:t xml:space="preserve"> što šireg</w:t>
      </w:r>
      <w:r w:rsidR="008A1AEF" w:rsidRPr="00A446B7">
        <w:rPr>
          <w:rFonts w:ascii="Cambria" w:hAnsi="Cambria"/>
          <w:sz w:val="24"/>
          <w:szCs w:val="24"/>
        </w:rPr>
        <w:t xml:space="preserve"> kruga javnosti. </w:t>
      </w:r>
    </w:p>
    <w:p w:rsidR="00D02549" w:rsidRPr="00D02549" w:rsidRDefault="00D02549" w:rsidP="00D02549">
      <w:pPr>
        <w:jc w:val="both"/>
        <w:rPr>
          <w:rFonts w:ascii="Cambria" w:hAnsi="Cambria"/>
          <w:sz w:val="24"/>
          <w:szCs w:val="24"/>
        </w:rPr>
      </w:pPr>
      <w:r w:rsidRPr="00D02549">
        <w:rPr>
          <w:rFonts w:ascii="Cambria" w:hAnsi="Cambria"/>
          <w:sz w:val="24"/>
          <w:szCs w:val="24"/>
        </w:rPr>
        <w:t xml:space="preserve">Za vrijeme trajanja savjetovanja putem portala e-Savjetovanja stručni nositelj može provesti druge metode savjetovanja s javnošću kako bi se potaknulo različite dionike na sudjelovanje. Primjerice, savjetovanje s javnošću putem javnog predstavljanja, anketa i fokus-skupina ili korištenja drugih metoda savjetovanja s javnošću. Druge metode odabiru se temeljem </w:t>
      </w:r>
      <w:r w:rsidRPr="00D02549">
        <w:rPr>
          <w:rFonts w:ascii="Cambria" w:hAnsi="Cambria"/>
          <w:sz w:val="24"/>
          <w:szCs w:val="24"/>
        </w:rPr>
        <w:lastRenderedPageBreak/>
        <w:t>kriterija efikasnosti, u smislu odgovarajućeg vremenskog roka, ljudskih i financijskih kapaciteta koji su na raspolaganju za provedbu savjetovanja te primjerenosti, u smislu razine informiranosti, vremenske i prostorne raspoloživosti samih dionika savjetovanja.</w:t>
      </w:r>
      <w:r w:rsidR="00CA7C5A">
        <w:rPr>
          <w:rFonts w:ascii="Cambria" w:hAnsi="Cambria"/>
          <w:sz w:val="24"/>
          <w:szCs w:val="24"/>
        </w:rPr>
        <w:t xml:space="preserve"> U 2023. godini, prema podacima tijela, ukupno je provedeno 81 savjetovanje izvan portala e-Savjetovanja.</w:t>
      </w:r>
    </w:p>
    <w:p w:rsidR="00E65396" w:rsidRDefault="00E65396" w:rsidP="004B5004">
      <w:pPr>
        <w:spacing w:line="257" w:lineRule="auto"/>
        <w:jc w:val="both"/>
        <w:rPr>
          <w:rFonts w:ascii="Cambria" w:eastAsia="Calibri" w:hAnsi="Cambria" w:cs="Calibri"/>
          <w:b/>
          <w:sz w:val="24"/>
          <w:szCs w:val="24"/>
        </w:rPr>
      </w:pPr>
    </w:p>
    <w:p w:rsidR="004B5004" w:rsidRDefault="004B5004" w:rsidP="004B5004">
      <w:pPr>
        <w:spacing w:line="257" w:lineRule="auto"/>
        <w:jc w:val="both"/>
        <w:rPr>
          <w:rFonts w:ascii="Cambria" w:eastAsia="Calibri" w:hAnsi="Cambria" w:cs="Calibri"/>
          <w:b/>
          <w:sz w:val="24"/>
          <w:szCs w:val="24"/>
        </w:rPr>
      </w:pPr>
      <w:r w:rsidRPr="004B5004">
        <w:rPr>
          <w:rFonts w:ascii="Cambria" w:eastAsia="Calibri" w:hAnsi="Cambria" w:cs="Calibri"/>
          <w:b/>
          <w:sz w:val="24"/>
          <w:szCs w:val="24"/>
        </w:rPr>
        <w:t xml:space="preserve">Grafički prikaz </w:t>
      </w:r>
      <w:r>
        <w:rPr>
          <w:rFonts w:ascii="Cambria" w:eastAsia="Calibri" w:hAnsi="Cambria" w:cs="Calibri"/>
          <w:b/>
          <w:sz w:val="24"/>
          <w:szCs w:val="24"/>
        </w:rPr>
        <w:t>4</w:t>
      </w:r>
      <w:r w:rsidRPr="004B5004">
        <w:rPr>
          <w:rFonts w:ascii="Cambria" w:eastAsia="Calibri" w:hAnsi="Cambria" w:cs="Calibri"/>
          <w:b/>
          <w:sz w:val="24"/>
          <w:szCs w:val="24"/>
        </w:rPr>
        <w:t xml:space="preserve">.: </w:t>
      </w:r>
      <w:r>
        <w:rPr>
          <w:rFonts w:ascii="Cambria" w:eastAsia="Calibri" w:hAnsi="Cambria" w:cs="Calibri"/>
          <w:b/>
          <w:sz w:val="24"/>
          <w:szCs w:val="24"/>
        </w:rPr>
        <w:t>Metode savjetovanja</w:t>
      </w:r>
    </w:p>
    <w:p w:rsidR="004B5004" w:rsidRDefault="004B5004" w:rsidP="004B5004">
      <w:pPr>
        <w:spacing w:line="257" w:lineRule="auto"/>
        <w:jc w:val="both"/>
        <w:rPr>
          <w:rFonts w:ascii="Cambria" w:eastAsia="Calibri" w:hAnsi="Cambria" w:cs="Calibri"/>
          <w:b/>
          <w:sz w:val="24"/>
          <w:szCs w:val="24"/>
        </w:rPr>
      </w:pPr>
    </w:p>
    <w:p w:rsidR="00D13B15" w:rsidRDefault="00E26CE3" w:rsidP="0001234B">
      <w:pPr>
        <w:jc w:val="both"/>
        <w:rPr>
          <w:noProof/>
          <w:lang w:eastAsia="hr-HR"/>
        </w:rPr>
      </w:pPr>
      <w:r>
        <w:rPr>
          <w:noProof/>
        </w:rPr>
        <w:drawing>
          <wp:inline distT="0" distB="0" distL="0" distR="0" wp14:anchorId="49AA465C" wp14:editId="245A26D8">
            <wp:extent cx="5086350" cy="3308604"/>
            <wp:effectExtent l="0" t="0" r="0" b="6350"/>
            <wp:docPr id="11" name="Chart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61DF" w:rsidRDefault="00E561DF" w:rsidP="0046680F">
      <w:pPr>
        <w:pStyle w:val="Heading2"/>
        <w:spacing w:after="120"/>
      </w:pPr>
    </w:p>
    <w:p w:rsidR="00650040" w:rsidRDefault="0083365D" w:rsidP="0046680F">
      <w:pPr>
        <w:pStyle w:val="Heading2"/>
        <w:spacing w:after="120"/>
      </w:pPr>
      <w:bookmarkStart w:id="14" w:name="_Toc176169392"/>
      <w:r>
        <w:t>3</w:t>
      </w:r>
      <w:r w:rsidR="00650040" w:rsidRPr="00AB758C">
        <w:t>.4. Trajanje savjetovanja</w:t>
      </w:r>
      <w:bookmarkEnd w:id="14"/>
    </w:p>
    <w:p w:rsidR="000351F4" w:rsidRDefault="008A1AEF" w:rsidP="008A1AEF">
      <w:pPr>
        <w:jc w:val="both"/>
        <w:rPr>
          <w:rFonts w:ascii="Cambria" w:hAnsi="Cambria"/>
          <w:sz w:val="24"/>
          <w:szCs w:val="24"/>
        </w:rPr>
      </w:pPr>
      <w:r w:rsidRPr="007B7EAE">
        <w:rPr>
          <w:rFonts w:ascii="Cambria" w:hAnsi="Cambria"/>
          <w:sz w:val="24"/>
          <w:szCs w:val="24"/>
        </w:rPr>
        <w:t xml:space="preserve">Od </w:t>
      </w:r>
      <w:r w:rsidR="00A837D6">
        <w:rPr>
          <w:rFonts w:ascii="Cambria" w:hAnsi="Cambria"/>
          <w:sz w:val="24"/>
          <w:szCs w:val="24"/>
        </w:rPr>
        <w:t>822</w:t>
      </w:r>
      <w:r w:rsidRPr="007B7EAE">
        <w:rPr>
          <w:rFonts w:ascii="Cambria" w:hAnsi="Cambria"/>
          <w:sz w:val="24"/>
          <w:szCs w:val="24"/>
        </w:rPr>
        <w:t xml:space="preserve"> provedena savjetovanja u </w:t>
      </w:r>
      <w:r w:rsidR="00AE6E2C" w:rsidRPr="007B7EAE">
        <w:rPr>
          <w:rFonts w:ascii="Cambria" w:hAnsi="Cambria"/>
          <w:sz w:val="24"/>
          <w:szCs w:val="24"/>
        </w:rPr>
        <w:t>20</w:t>
      </w:r>
      <w:r w:rsidR="000D1C81">
        <w:rPr>
          <w:rFonts w:ascii="Cambria" w:hAnsi="Cambria"/>
          <w:sz w:val="24"/>
          <w:szCs w:val="24"/>
        </w:rPr>
        <w:t>2</w:t>
      </w:r>
      <w:r w:rsidR="00A837D6">
        <w:rPr>
          <w:rFonts w:ascii="Cambria" w:hAnsi="Cambria"/>
          <w:sz w:val="24"/>
          <w:szCs w:val="24"/>
        </w:rPr>
        <w:t>3</w:t>
      </w:r>
      <w:r w:rsidRPr="007B7EAE">
        <w:rPr>
          <w:rFonts w:ascii="Cambria" w:hAnsi="Cambria"/>
          <w:sz w:val="24"/>
          <w:szCs w:val="24"/>
        </w:rPr>
        <w:t>.</w:t>
      </w:r>
      <w:r w:rsidR="00E105BF" w:rsidRPr="007B7EAE">
        <w:rPr>
          <w:rFonts w:ascii="Cambria" w:hAnsi="Cambria"/>
          <w:sz w:val="24"/>
          <w:szCs w:val="24"/>
        </w:rPr>
        <w:t>,</w:t>
      </w:r>
      <w:r w:rsidRPr="007B7EAE">
        <w:rPr>
          <w:rFonts w:ascii="Cambria" w:hAnsi="Cambria"/>
          <w:sz w:val="24"/>
          <w:szCs w:val="24"/>
        </w:rPr>
        <w:t xml:space="preserve"> </w:t>
      </w:r>
      <w:r w:rsidRPr="00F809F5">
        <w:rPr>
          <w:rFonts w:ascii="Cambria" w:hAnsi="Cambria"/>
          <w:sz w:val="24"/>
          <w:szCs w:val="24"/>
        </w:rPr>
        <w:t xml:space="preserve">njih </w:t>
      </w:r>
      <w:r w:rsidR="00BF7776">
        <w:rPr>
          <w:rFonts w:ascii="Cambria" w:hAnsi="Cambria"/>
          <w:sz w:val="24"/>
          <w:szCs w:val="24"/>
        </w:rPr>
        <w:t>106</w:t>
      </w:r>
      <w:r w:rsidR="007D7B77">
        <w:rPr>
          <w:rFonts w:ascii="Cambria" w:hAnsi="Cambria"/>
          <w:sz w:val="24"/>
          <w:szCs w:val="24"/>
        </w:rPr>
        <w:t xml:space="preserve"> trajalo je</w:t>
      </w:r>
      <w:r w:rsidR="007B7EAE" w:rsidRPr="00F809F5">
        <w:rPr>
          <w:rFonts w:ascii="Cambria" w:hAnsi="Cambria"/>
          <w:sz w:val="24"/>
          <w:szCs w:val="24"/>
        </w:rPr>
        <w:t xml:space="preserve"> </w:t>
      </w:r>
      <w:r w:rsidR="00F809F5" w:rsidRPr="00F809F5">
        <w:rPr>
          <w:rFonts w:ascii="Cambria" w:hAnsi="Cambria"/>
          <w:sz w:val="24"/>
          <w:szCs w:val="24"/>
        </w:rPr>
        <w:t xml:space="preserve">30 ili više dana dok je preostalih </w:t>
      </w:r>
      <w:r w:rsidR="00A837D6">
        <w:rPr>
          <w:rFonts w:ascii="Cambria" w:hAnsi="Cambria"/>
          <w:sz w:val="24"/>
          <w:szCs w:val="24"/>
        </w:rPr>
        <w:t>716</w:t>
      </w:r>
      <w:r w:rsidR="00F809F5" w:rsidRPr="00F809F5">
        <w:rPr>
          <w:rFonts w:ascii="Cambria" w:hAnsi="Cambria"/>
          <w:sz w:val="24"/>
          <w:szCs w:val="24"/>
        </w:rPr>
        <w:t xml:space="preserve"> savjetovanja bilo na savjetovanju u skraćenom roku, odnosno manje od propisanih 30 dana</w:t>
      </w:r>
      <w:r w:rsidR="007D7B77">
        <w:rPr>
          <w:rFonts w:ascii="Cambria" w:hAnsi="Cambria"/>
          <w:sz w:val="24"/>
          <w:szCs w:val="24"/>
        </w:rPr>
        <w:t>.</w:t>
      </w:r>
      <w:r w:rsidR="007B7EAE" w:rsidRPr="00F809F5">
        <w:rPr>
          <w:rFonts w:ascii="Cambria" w:hAnsi="Cambria"/>
          <w:sz w:val="24"/>
          <w:szCs w:val="24"/>
        </w:rPr>
        <w:t xml:space="preserve"> Sustav također bilježi kako je prosječan broj dana savjetovanja</w:t>
      </w:r>
      <w:r w:rsidR="007D7B77">
        <w:rPr>
          <w:rFonts w:ascii="Cambria" w:hAnsi="Cambria"/>
          <w:sz w:val="24"/>
          <w:szCs w:val="24"/>
        </w:rPr>
        <w:t xml:space="preserve"> iznosio </w:t>
      </w:r>
      <w:r w:rsidR="00A837D6">
        <w:rPr>
          <w:rFonts w:ascii="Cambria" w:hAnsi="Cambria"/>
          <w:sz w:val="24"/>
          <w:szCs w:val="24"/>
        </w:rPr>
        <w:t>21</w:t>
      </w:r>
      <w:r w:rsidR="007D7B77">
        <w:rPr>
          <w:rFonts w:ascii="Cambria" w:hAnsi="Cambria"/>
          <w:sz w:val="24"/>
          <w:szCs w:val="24"/>
        </w:rPr>
        <w:t xml:space="preserve"> dan što </w:t>
      </w:r>
      <w:r w:rsidR="000351F4" w:rsidRPr="000351F4">
        <w:rPr>
          <w:rFonts w:ascii="Cambria" w:hAnsi="Cambria"/>
          <w:sz w:val="24"/>
          <w:szCs w:val="24"/>
        </w:rPr>
        <w:t xml:space="preserve">predstavlja </w:t>
      </w:r>
      <w:r w:rsidR="004E5DEF">
        <w:rPr>
          <w:rFonts w:ascii="Cambria" w:hAnsi="Cambria"/>
          <w:sz w:val="24"/>
          <w:szCs w:val="24"/>
        </w:rPr>
        <w:t>povećanje</w:t>
      </w:r>
      <w:r w:rsidR="000351F4" w:rsidRPr="000351F4">
        <w:rPr>
          <w:rFonts w:ascii="Cambria" w:hAnsi="Cambria"/>
          <w:sz w:val="24"/>
          <w:szCs w:val="24"/>
        </w:rPr>
        <w:t xml:space="preserve"> u odnosu na rezultate iz 202</w:t>
      </w:r>
      <w:r w:rsidR="00A837D6">
        <w:rPr>
          <w:rFonts w:ascii="Cambria" w:hAnsi="Cambria"/>
          <w:sz w:val="24"/>
          <w:szCs w:val="24"/>
        </w:rPr>
        <w:t>2</w:t>
      </w:r>
      <w:r w:rsidR="000351F4" w:rsidRPr="000351F4">
        <w:rPr>
          <w:rFonts w:ascii="Cambria" w:hAnsi="Cambria"/>
          <w:sz w:val="24"/>
          <w:szCs w:val="24"/>
        </w:rPr>
        <w:t>.</w:t>
      </w:r>
      <w:r w:rsidR="000351F4">
        <w:rPr>
          <w:rFonts w:ascii="Cambria" w:hAnsi="Cambria"/>
          <w:sz w:val="24"/>
          <w:szCs w:val="24"/>
        </w:rPr>
        <w:t xml:space="preserve"> godin</w:t>
      </w:r>
      <w:r w:rsidR="00421D36">
        <w:rPr>
          <w:rFonts w:ascii="Cambria" w:hAnsi="Cambria"/>
          <w:sz w:val="24"/>
          <w:szCs w:val="24"/>
        </w:rPr>
        <w:t>e</w:t>
      </w:r>
      <w:r w:rsidR="000351F4" w:rsidRPr="000351F4">
        <w:rPr>
          <w:rFonts w:ascii="Cambria" w:hAnsi="Cambria"/>
          <w:sz w:val="24"/>
          <w:szCs w:val="24"/>
        </w:rPr>
        <w:t xml:space="preserve">, kad </w:t>
      </w:r>
      <w:r w:rsidR="008F20CB">
        <w:rPr>
          <w:rFonts w:ascii="Cambria" w:hAnsi="Cambria"/>
          <w:sz w:val="24"/>
          <w:szCs w:val="24"/>
        </w:rPr>
        <w:t>je</w:t>
      </w:r>
      <w:r w:rsidR="000351F4" w:rsidRPr="000351F4">
        <w:rPr>
          <w:rFonts w:ascii="Cambria" w:hAnsi="Cambria"/>
          <w:sz w:val="24"/>
          <w:szCs w:val="24"/>
        </w:rPr>
        <w:t xml:space="preserve"> savjetovanj</w:t>
      </w:r>
      <w:r w:rsidR="008F20CB">
        <w:rPr>
          <w:rFonts w:ascii="Cambria" w:hAnsi="Cambria"/>
          <w:sz w:val="24"/>
          <w:szCs w:val="24"/>
        </w:rPr>
        <w:t>e</w:t>
      </w:r>
      <w:r w:rsidR="000351F4" w:rsidRPr="000351F4">
        <w:rPr>
          <w:rFonts w:ascii="Cambria" w:hAnsi="Cambria"/>
          <w:sz w:val="24"/>
          <w:szCs w:val="24"/>
        </w:rPr>
        <w:t xml:space="preserve"> u prosjeku trajal</w:t>
      </w:r>
      <w:r w:rsidR="00A837D6">
        <w:rPr>
          <w:rFonts w:ascii="Cambria" w:hAnsi="Cambria"/>
          <w:sz w:val="24"/>
          <w:szCs w:val="24"/>
        </w:rPr>
        <w:t>o</w:t>
      </w:r>
      <w:r w:rsidR="000351F4" w:rsidRPr="000351F4">
        <w:rPr>
          <w:rFonts w:ascii="Cambria" w:hAnsi="Cambria"/>
          <w:sz w:val="24"/>
          <w:szCs w:val="24"/>
        </w:rPr>
        <w:t xml:space="preserve"> </w:t>
      </w:r>
      <w:r w:rsidR="00A837D6">
        <w:rPr>
          <w:rFonts w:ascii="Cambria" w:hAnsi="Cambria"/>
          <w:sz w:val="24"/>
          <w:szCs w:val="24"/>
        </w:rPr>
        <w:t>19 dana</w:t>
      </w:r>
      <w:r w:rsidR="000351F4" w:rsidRPr="000351F4">
        <w:rPr>
          <w:rFonts w:ascii="Cambria" w:hAnsi="Cambria"/>
          <w:sz w:val="24"/>
          <w:szCs w:val="24"/>
        </w:rPr>
        <w:t>.</w:t>
      </w:r>
    </w:p>
    <w:p w:rsidR="00F2354D" w:rsidRPr="00F809F5" w:rsidRDefault="00F2354D" w:rsidP="008A1AEF">
      <w:pPr>
        <w:jc w:val="both"/>
        <w:rPr>
          <w:rFonts w:ascii="Cambria" w:hAnsi="Cambria"/>
          <w:sz w:val="24"/>
          <w:szCs w:val="24"/>
        </w:rPr>
      </w:pPr>
      <w:r w:rsidRPr="00F809F5">
        <w:rPr>
          <w:rFonts w:ascii="Cambria" w:hAnsi="Cambria"/>
          <w:sz w:val="24"/>
          <w:szCs w:val="24"/>
        </w:rPr>
        <w:t>Unatoč odredb</w:t>
      </w:r>
      <w:r w:rsidR="00A837D6">
        <w:rPr>
          <w:rFonts w:ascii="Cambria" w:hAnsi="Cambria"/>
          <w:sz w:val="24"/>
          <w:szCs w:val="24"/>
        </w:rPr>
        <w:t>ama</w:t>
      </w:r>
      <w:r w:rsidRPr="00F809F5">
        <w:rPr>
          <w:rFonts w:ascii="Cambria" w:hAnsi="Cambria"/>
          <w:sz w:val="24"/>
          <w:szCs w:val="24"/>
        </w:rPr>
        <w:t xml:space="preserve"> Zakona o pravu na pristup informacijama </w:t>
      </w:r>
      <w:r w:rsidR="00A837D6">
        <w:rPr>
          <w:rFonts w:ascii="Cambria" w:hAnsi="Cambria"/>
          <w:sz w:val="24"/>
          <w:szCs w:val="24"/>
        </w:rPr>
        <w:t xml:space="preserve">i Zakona o instrumentima politike boljih propisa kojima je </w:t>
      </w:r>
      <w:r w:rsidR="002B123B">
        <w:rPr>
          <w:rFonts w:ascii="Cambria" w:hAnsi="Cambria"/>
          <w:sz w:val="24"/>
          <w:szCs w:val="24"/>
        </w:rPr>
        <w:t>propisan</w:t>
      </w:r>
      <w:r w:rsidRPr="00F809F5">
        <w:rPr>
          <w:rFonts w:ascii="Cambria" w:hAnsi="Cambria"/>
          <w:sz w:val="24"/>
          <w:szCs w:val="24"/>
        </w:rPr>
        <w:t xml:space="preserve"> rok za savjetovanje s javnošću </w:t>
      </w:r>
      <w:r w:rsidR="00C259E6" w:rsidRPr="00F809F5">
        <w:rPr>
          <w:rFonts w:ascii="Cambria" w:hAnsi="Cambria"/>
          <w:sz w:val="24"/>
          <w:szCs w:val="24"/>
        </w:rPr>
        <w:t xml:space="preserve">u pravilu </w:t>
      </w:r>
      <w:r w:rsidRPr="00F809F5">
        <w:rPr>
          <w:rFonts w:ascii="Cambria" w:hAnsi="Cambria"/>
          <w:sz w:val="24"/>
          <w:szCs w:val="24"/>
        </w:rPr>
        <w:t xml:space="preserve">od 30 dana te obvezi objavljivanja planova savjetovanja koji bi trebali omogućiti poštivanje navedenog roka, </w:t>
      </w:r>
      <w:r w:rsidR="00E65396">
        <w:rPr>
          <w:rFonts w:ascii="Cambria" w:hAnsi="Cambria"/>
          <w:sz w:val="24"/>
          <w:szCs w:val="24"/>
        </w:rPr>
        <w:t>veliki broj tijela državne uprave i</w:t>
      </w:r>
      <w:r w:rsidRPr="00F809F5">
        <w:rPr>
          <w:rFonts w:ascii="Cambria" w:hAnsi="Cambria"/>
          <w:sz w:val="24"/>
          <w:szCs w:val="24"/>
        </w:rPr>
        <w:t xml:space="preserve"> državnih tijela i dalje provode savjetovanja u mnogo kraćem roku pozivajući se na žurnost rješavanja problema</w:t>
      </w:r>
      <w:r w:rsidR="00892C4B" w:rsidRPr="00F809F5">
        <w:rPr>
          <w:rFonts w:ascii="Cambria" w:hAnsi="Cambria"/>
          <w:sz w:val="24"/>
          <w:szCs w:val="24"/>
        </w:rPr>
        <w:t>/donošenja akta</w:t>
      </w:r>
      <w:r w:rsidRPr="00F809F5">
        <w:rPr>
          <w:rFonts w:ascii="Cambria" w:hAnsi="Cambria"/>
          <w:sz w:val="24"/>
          <w:szCs w:val="24"/>
        </w:rPr>
        <w:t>.</w:t>
      </w:r>
    </w:p>
    <w:p w:rsidR="00822529" w:rsidRDefault="00AB1113" w:rsidP="008A1AEF">
      <w:pPr>
        <w:jc w:val="both"/>
        <w:rPr>
          <w:rFonts w:ascii="Cambria" w:hAnsi="Cambria"/>
          <w:sz w:val="24"/>
          <w:szCs w:val="24"/>
        </w:rPr>
      </w:pPr>
      <w:r w:rsidRPr="002B123B">
        <w:rPr>
          <w:rFonts w:ascii="Cambria" w:hAnsi="Cambria"/>
          <w:sz w:val="24"/>
          <w:szCs w:val="24"/>
        </w:rPr>
        <w:lastRenderedPageBreak/>
        <w:t>Treba napomenuti kako je u 20</w:t>
      </w:r>
      <w:r w:rsidR="00F809F5" w:rsidRPr="002B123B">
        <w:rPr>
          <w:rFonts w:ascii="Cambria" w:hAnsi="Cambria"/>
          <w:sz w:val="24"/>
          <w:szCs w:val="24"/>
        </w:rPr>
        <w:t>2</w:t>
      </w:r>
      <w:r w:rsidR="002B123B" w:rsidRPr="002B123B">
        <w:rPr>
          <w:rFonts w:ascii="Cambria" w:hAnsi="Cambria"/>
          <w:sz w:val="24"/>
          <w:szCs w:val="24"/>
        </w:rPr>
        <w:t>3</w:t>
      </w:r>
      <w:r w:rsidRPr="002B123B">
        <w:rPr>
          <w:rFonts w:ascii="Cambria" w:hAnsi="Cambria"/>
          <w:sz w:val="24"/>
          <w:szCs w:val="24"/>
        </w:rPr>
        <w:t xml:space="preserve">. godini provedeno i </w:t>
      </w:r>
      <w:r w:rsidR="002B123B" w:rsidRPr="002B123B">
        <w:rPr>
          <w:rFonts w:ascii="Cambria" w:hAnsi="Cambria"/>
          <w:sz w:val="24"/>
          <w:szCs w:val="24"/>
        </w:rPr>
        <w:t>12</w:t>
      </w:r>
      <w:r w:rsidRPr="002B123B">
        <w:rPr>
          <w:rFonts w:ascii="Cambria" w:hAnsi="Cambria"/>
          <w:sz w:val="24"/>
          <w:szCs w:val="24"/>
        </w:rPr>
        <w:t xml:space="preserve"> savjetovanja za Iskaze o procjeni učinaka propisa</w:t>
      </w:r>
      <w:r w:rsidR="00116FBC" w:rsidRPr="002B123B">
        <w:rPr>
          <w:rFonts w:ascii="Cambria" w:hAnsi="Cambria"/>
          <w:sz w:val="24"/>
          <w:szCs w:val="24"/>
        </w:rPr>
        <w:t xml:space="preserve"> </w:t>
      </w:r>
      <w:r w:rsidR="002B123B" w:rsidRPr="002B123B">
        <w:rPr>
          <w:rFonts w:ascii="Cambria" w:hAnsi="Cambria"/>
          <w:sz w:val="24"/>
          <w:szCs w:val="24"/>
        </w:rPr>
        <w:t>sukladno ranije važećem</w:t>
      </w:r>
      <w:r w:rsidR="00BF7776" w:rsidRPr="002B123B">
        <w:rPr>
          <w:rFonts w:ascii="Cambria" w:hAnsi="Cambria"/>
          <w:sz w:val="24"/>
          <w:szCs w:val="24"/>
        </w:rPr>
        <w:t xml:space="preserve"> Zakonom o procjeni učinaka propisa</w:t>
      </w:r>
      <w:r w:rsidR="00116FBC" w:rsidRPr="002B123B">
        <w:rPr>
          <w:rFonts w:ascii="Cambria" w:hAnsi="Cambria"/>
          <w:sz w:val="24"/>
          <w:szCs w:val="24"/>
        </w:rPr>
        <w:t xml:space="preserve"> </w:t>
      </w:r>
      <w:r w:rsidRPr="002B123B">
        <w:rPr>
          <w:rFonts w:ascii="Cambria" w:hAnsi="Cambria"/>
          <w:sz w:val="24"/>
          <w:szCs w:val="24"/>
        </w:rPr>
        <w:t xml:space="preserve">("Narodne novine" broj 44/17), u trajanju od 30 dana. </w:t>
      </w:r>
    </w:p>
    <w:p w:rsidR="0083365D" w:rsidRDefault="0083365D" w:rsidP="008A1AEF">
      <w:pPr>
        <w:jc w:val="both"/>
        <w:rPr>
          <w:rFonts w:ascii="Cambria" w:hAnsi="Cambria"/>
          <w:b/>
        </w:rPr>
      </w:pPr>
    </w:p>
    <w:p w:rsidR="00E65396" w:rsidRDefault="00E65396" w:rsidP="008A1AEF">
      <w:pPr>
        <w:jc w:val="both"/>
        <w:rPr>
          <w:rFonts w:ascii="Cambria" w:hAnsi="Cambria"/>
          <w:b/>
        </w:rPr>
      </w:pPr>
    </w:p>
    <w:p w:rsidR="00E65396" w:rsidRDefault="00E65396" w:rsidP="008A1AEF">
      <w:pPr>
        <w:jc w:val="both"/>
        <w:rPr>
          <w:rFonts w:ascii="Cambria" w:hAnsi="Cambria"/>
          <w:b/>
        </w:rPr>
      </w:pPr>
    </w:p>
    <w:p w:rsidR="0046680F" w:rsidRDefault="0046680F" w:rsidP="008A1AEF">
      <w:pPr>
        <w:jc w:val="both"/>
        <w:rPr>
          <w:rFonts w:ascii="Cambria" w:hAnsi="Cambria"/>
          <w:sz w:val="24"/>
          <w:szCs w:val="24"/>
        </w:rPr>
      </w:pPr>
      <w:r w:rsidRPr="00F2354D">
        <w:rPr>
          <w:rFonts w:ascii="Cambria" w:hAnsi="Cambria"/>
          <w:b/>
        </w:rPr>
        <w:t xml:space="preserve">Grafički prikaz </w:t>
      </w:r>
      <w:r w:rsidR="003A0940">
        <w:rPr>
          <w:rFonts w:ascii="Cambria" w:hAnsi="Cambria"/>
          <w:b/>
        </w:rPr>
        <w:t>5</w:t>
      </w:r>
      <w:r w:rsidRPr="00F2354D">
        <w:rPr>
          <w:rFonts w:ascii="Cambria" w:hAnsi="Cambria"/>
          <w:b/>
        </w:rPr>
        <w:t>.: Trajanje savjetovanja</w:t>
      </w:r>
    </w:p>
    <w:p w:rsidR="0046680F" w:rsidRDefault="0046680F" w:rsidP="000D1C81">
      <w:pPr>
        <w:jc w:val="center"/>
        <w:rPr>
          <w:noProof/>
          <w:lang w:eastAsia="hr-HR"/>
        </w:rPr>
      </w:pPr>
    </w:p>
    <w:p w:rsidR="000D1C81" w:rsidRDefault="00A837D6" w:rsidP="00581E88">
      <w:pPr>
        <w:jc w:val="both"/>
        <w:rPr>
          <w:noProof/>
          <w:lang w:eastAsia="hr-HR"/>
        </w:rPr>
      </w:pPr>
      <w:r>
        <w:rPr>
          <w:noProof/>
        </w:rPr>
        <w:drawing>
          <wp:inline distT="0" distB="0" distL="0" distR="0" wp14:anchorId="46330020" wp14:editId="708E8607">
            <wp:extent cx="5943600" cy="2870200"/>
            <wp:effectExtent l="0" t="0" r="0" b="6350"/>
            <wp:docPr id="10" name="Chart 10">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365D" w:rsidRDefault="0083365D" w:rsidP="00581E88">
      <w:pPr>
        <w:jc w:val="both"/>
        <w:rPr>
          <w:noProof/>
          <w:lang w:eastAsia="hr-HR"/>
        </w:rPr>
      </w:pPr>
    </w:p>
    <w:p w:rsidR="000A0DB8" w:rsidRDefault="000A0DB8" w:rsidP="00581E88">
      <w:pPr>
        <w:jc w:val="both"/>
        <w:rPr>
          <w:noProof/>
          <w:lang w:eastAsia="hr-HR"/>
        </w:rPr>
      </w:pPr>
    </w:p>
    <w:p w:rsidR="000A0DB8" w:rsidRDefault="000A0DB8" w:rsidP="00581E88">
      <w:pPr>
        <w:jc w:val="both"/>
        <w:rPr>
          <w:noProof/>
          <w:lang w:eastAsia="hr-HR"/>
        </w:rPr>
      </w:pPr>
    </w:p>
    <w:p w:rsidR="00691600" w:rsidRDefault="00691600" w:rsidP="0046680F">
      <w:pPr>
        <w:pStyle w:val="Heading2"/>
        <w:spacing w:after="120"/>
      </w:pPr>
    </w:p>
    <w:p w:rsidR="00691600" w:rsidRDefault="00691600" w:rsidP="0046680F">
      <w:pPr>
        <w:pStyle w:val="Heading2"/>
        <w:spacing w:after="120"/>
      </w:pPr>
    </w:p>
    <w:p w:rsidR="00691600" w:rsidRDefault="00691600" w:rsidP="00691600"/>
    <w:p w:rsidR="00691600" w:rsidRPr="00691600" w:rsidRDefault="00691600" w:rsidP="00691600"/>
    <w:p w:rsidR="00691600" w:rsidRDefault="00691600" w:rsidP="0046680F">
      <w:pPr>
        <w:pStyle w:val="Heading2"/>
        <w:spacing w:after="120"/>
      </w:pPr>
    </w:p>
    <w:p w:rsidR="00650040" w:rsidRDefault="0083365D" w:rsidP="0046680F">
      <w:pPr>
        <w:pStyle w:val="Heading2"/>
        <w:spacing w:after="120"/>
      </w:pPr>
      <w:bookmarkStart w:id="15" w:name="_Toc176169393"/>
      <w:r>
        <w:t>3</w:t>
      </w:r>
      <w:r w:rsidR="00650040" w:rsidRPr="00AB758C">
        <w:t>.</w:t>
      </w:r>
      <w:r w:rsidR="00BF7776">
        <w:t>5</w:t>
      </w:r>
      <w:r w:rsidR="00650040" w:rsidRPr="00AB758C">
        <w:t>. Podnositelji komentara</w:t>
      </w:r>
      <w:bookmarkEnd w:id="15"/>
    </w:p>
    <w:p w:rsidR="002C1D70" w:rsidRDefault="002C1D70" w:rsidP="00BB6483">
      <w:pPr>
        <w:jc w:val="both"/>
        <w:rPr>
          <w:rFonts w:ascii="Cambria" w:hAnsi="Cambria"/>
          <w:sz w:val="24"/>
          <w:szCs w:val="24"/>
        </w:rPr>
      </w:pPr>
      <w:r w:rsidRPr="002C1D70">
        <w:rPr>
          <w:rFonts w:ascii="Cambria" w:hAnsi="Cambria"/>
          <w:sz w:val="24"/>
          <w:szCs w:val="24"/>
        </w:rPr>
        <w:t>Tijekom 20</w:t>
      </w:r>
      <w:r w:rsidR="00481436">
        <w:rPr>
          <w:rFonts w:ascii="Cambria" w:hAnsi="Cambria"/>
          <w:sz w:val="24"/>
          <w:szCs w:val="24"/>
        </w:rPr>
        <w:t>2</w:t>
      </w:r>
      <w:r w:rsidR="00A837D6">
        <w:rPr>
          <w:rFonts w:ascii="Cambria" w:hAnsi="Cambria"/>
          <w:sz w:val="24"/>
          <w:szCs w:val="24"/>
        </w:rPr>
        <w:t>3</w:t>
      </w:r>
      <w:r w:rsidRPr="002C1D70">
        <w:rPr>
          <w:rFonts w:ascii="Cambria" w:hAnsi="Cambria"/>
          <w:sz w:val="24"/>
          <w:szCs w:val="24"/>
        </w:rPr>
        <w:t>. godine</w:t>
      </w:r>
      <w:r w:rsidR="00946193">
        <w:rPr>
          <w:rFonts w:ascii="Cambria" w:hAnsi="Cambria"/>
          <w:sz w:val="24"/>
          <w:szCs w:val="24"/>
        </w:rPr>
        <w:t>,</w:t>
      </w:r>
      <w:r w:rsidRPr="002C1D70">
        <w:rPr>
          <w:rFonts w:ascii="Cambria" w:hAnsi="Cambria"/>
          <w:sz w:val="24"/>
          <w:szCs w:val="24"/>
        </w:rPr>
        <w:t xml:space="preserve"> u postupcima savjetovanja </w:t>
      </w:r>
      <w:r w:rsidR="00762EBE">
        <w:rPr>
          <w:rFonts w:ascii="Cambria" w:hAnsi="Cambria"/>
          <w:sz w:val="24"/>
          <w:szCs w:val="24"/>
        </w:rPr>
        <w:t>s</w:t>
      </w:r>
      <w:r w:rsidRPr="002C1D70">
        <w:rPr>
          <w:rFonts w:ascii="Cambria" w:hAnsi="Cambria"/>
          <w:sz w:val="24"/>
          <w:szCs w:val="24"/>
        </w:rPr>
        <w:t xml:space="preserve"> javnošću sudjelovalo je ukupno </w:t>
      </w:r>
      <w:r w:rsidR="00BF7776" w:rsidRPr="00BF7776">
        <w:rPr>
          <w:rFonts w:ascii="Cambria" w:hAnsi="Cambria"/>
          <w:sz w:val="24"/>
          <w:szCs w:val="24"/>
        </w:rPr>
        <w:t>6</w:t>
      </w:r>
      <w:r w:rsidR="00BF7776">
        <w:rPr>
          <w:rFonts w:ascii="Cambria" w:hAnsi="Cambria"/>
          <w:sz w:val="24"/>
          <w:szCs w:val="24"/>
        </w:rPr>
        <w:t>.</w:t>
      </w:r>
      <w:r w:rsidR="005E1548">
        <w:rPr>
          <w:rFonts w:ascii="Cambria" w:hAnsi="Cambria"/>
          <w:sz w:val="24"/>
          <w:szCs w:val="24"/>
        </w:rPr>
        <w:t xml:space="preserve">445 </w:t>
      </w:r>
      <w:r w:rsidR="00481436">
        <w:rPr>
          <w:rFonts w:ascii="Cambria" w:hAnsi="Cambria"/>
          <w:sz w:val="24"/>
          <w:szCs w:val="24"/>
        </w:rPr>
        <w:t xml:space="preserve">pravnih i fizičkih osoba </w:t>
      </w:r>
      <w:r w:rsidR="00481436" w:rsidRPr="002C1D70">
        <w:rPr>
          <w:rFonts w:ascii="Cambria" w:hAnsi="Cambria"/>
          <w:sz w:val="24"/>
          <w:szCs w:val="24"/>
        </w:rPr>
        <w:t>koje su dostavile komentar/e na nacrt</w:t>
      </w:r>
      <w:r w:rsidR="00481436">
        <w:rPr>
          <w:rFonts w:ascii="Cambria" w:hAnsi="Cambria"/>
          <w:sz w:val="24"/>
          <w:szCs w:val="24"/>
        </w:rPr>
        <w:t>e</w:t>
      </w:r>
      <w:r w:rsidR="00481436" w:rsidRPr="002C1D70">
        <w:rPr>
          <w:rFonts w:ascii="Cambria" w:hAnsi="Cambria"/>
          <w:sz w:val="24"/>
          <w:szCs w:val="24"/>
        </w:rPr>
        <w:t xml:space="preserve"> zakona, drug</w:t>
      </w:r>
      <w:r w:rsidR="00481436">
        <w:rPr>
          <w:rFonts w:ascii="Cambria" w:hAnsi="Cambria"/>
          <w:sz w:val="24"/>
          <w:szCs w:val="24"/>
        </w:rPr>
        <w:t>ih</w:t>
      </w:r>
      <w:r w:rsidR="00481436" w:rsidRPr="002C1D70">
        <w:rPr>
          <w:rFonts w:ascii="Cambria" w:hAnsi="Cambria"/>
          <w:sz w:val="24"/>
          <w:szCs w:val="24"/>
        </w:rPr>
        <w:t xml:space="preserve"> propisa ili ak</w:t>
      </w:r>
      <w:r w:rsidR="00481436">
        <w:rPr>
          <w:rFonts w:ascii="Cambria" w:hAnsi="Cambria"/>
          <w:sz w:val="24"/>
          <w:szCs w:val="24"/>
        </w:rPr>
        <w:t>a</w:t>
      </w:r>
      <w:r w:rsidR="00481436" w:rsidRPr="002C1D70">
        <w:rPr>
          <w:rFonts w:ascii="Cambria" w:hAnsi="Cambria"/>
          <w:sz w:val="24"/>
          <w:szCs w:val="24"/>
        </w:rPr>
        <w:t>ta nadležn</w:t>
      </w:r>
      <w:r w:rsidR="00481436">
        <w:rPr>
          <w:rFonts w:ascii="Cambria" w:hAnsi="Cambria"/>
          <w:sz w:val="24"/>
          <w:szCs w:val="24"/>
        </w:rPr>
        <w:t>i</w:t>
      </w:r>
      <w:r w:rsidR="00481436" w:rsidRPr="002C1D70">
        <w:rPr>
          <w:rFonts w:ascii="Cambria" w:hAnsi="Cambria"/>
          <w:sz w:val="24"/>
          <w:szCs w:val="24"/>
        </w:rPr>
        <w:t xml:space="preserve">m </w:t>
      </w:r>
      <w:r w:rsidR="003E3A37">
        <w:rPr>
          <w:rFonts w:ascii="Cambria" w:hAnsi="Cambria"/>
          <w:sz w:val="24"/>
          <w:szCs w:val="24"/>
        </w:rPr>
        <w:t xml:space="preserve">tijelima državne uprave i </w:t>
      </w:r>
      <w:r w:rsidR="00481436" w:rsidRPr="002C1D70">
        <w:rPr>
          <w:rFonts w:ascii="Cambria" w:hAnsi="Cambria"/>
          <w:sz w:val="24"/>
          <w:szCs w:val="24"/>
        </w:rPr>
        <w:t>državn</w:t>
      </w:r>
      <w:r w:rsidR="00481436">
        <w:rPr>
          <w:rFonts w:ascii="Cambria" w:hAnsi="Cambria"/>
          <w:sz w:val="24"/>
          <w:szCs w:val="24"/>
        </w:rPr>
        <w:t>i</w:t>
      </w:r>
      <w:r w:rsidR="00481436" w:rsidRPr="002C1D70">
        <w:rPr>
          <w:rFonts w:ascii="Cambria" w:hAnsi="Cambria"/>
          <w:sz w:val="24"/>
          <w:szCs w:val="24"/>
        </w:rPr>
        <w:t>m tijel</w:t>
      </w:r>
      <w:r w:rsidR="00481436">
        <w:rPr>
          <w:rFonts w:ascii="Cambria" w:hAnsi="Cambria"/>
          <w:sz w:val="24"/>
          <w:szCs w:val="24"/>
        </w:rPr>
        <w:t>ima</w:t>
      </w:r>
      <w:r w:rsidR="00481436" w:rsidRPr="002C1D70">
        <w:rPr>
          <w:rFonts w:ascii="Cambria" w:hAnsi="Cambria"/>
          <w:sz w:val="24"/>
          <w:szCs w:val="24"/>
        </w:rPr>
        <w:t>.</w:t>
      </w:r>
      <w:r w:rsidR="00481436">
        <w:rPr>
          <w:rFonts w:ascii="Cambria" w:hAnsi="Cambria"/>
          <w:sz w:val="24"/>
          <w:szCs w:val="24"/>
        </w:rPr>
        <w:t xml:space="preserve"> </w:t>
      </w:r>
    </w:p>
    <w:p w:rsidR="00481436" w:rsidRDefault="00481436" w:rsidP="00962013">
      <w:pPr>
        <w:ind w:right="4"/>
        <w:jc w:val="both"/>
        <w:rPr>
          <w:rFonts w:ascii="Cambria" w:hAnsi="Cambria"/>
          <w:b/>
        </w:rPr>
      </w:pPr>
    </w:p>
    <w:p w:rsidR="003A0940" w:rsidRDefault="003A0940" w:rsidP="00962013">
      <w:pPr>
        <w:ind w:right="4"/>
        <w:jc w:val="both"/>
        <w:rPr>
          <w:rFonts w:ascii="Cambria" w:hAnsi="Cambria"/>
          <w:b/>
        </w:rPr>
      </w:pPr>
    </w:p>
    <w:p w:rsidR="00D134E0" w:rsidRDefault="00D134E0" w:rsidP="00D134E0">
      <w:pPr>
        <w:jc w:val="both"/>
        <w:rPr>
          <w:rFonts w:ascii="Cambria" w:hAnsi="Cambria"/>
          <w:b/>
        </w:rPr>
      </w:pPr>
      <w:r w:rsidRPr="002B123B">
        <w:rPr>
          <w:rFonts w:ascii="Cambria" w:hAnsi="Cambria"/>
          <w:b/>
        </w:rPr>
        <w:t xml:space="preserve">Grafički prikaz </w:t>
      </w:r>
      <w:r w:rsidR="003A0940">
        <w:rPr>
          <w:rFonts w:ascii="Cambria" w:hAnsi="Cambria"/>
          <w:b/>
        </w:rPr>
        <w:t>6</w:t>
      </w:r>
      <w:r w:rsidRPr="002B123B">
        <w:rPr>
          <w:rFonts w:ascii="Cambria" w:hAnsi="Cambria"/>
          <w:b/>
        </w:rPr>
        <w:t>.: Broj podnositelja komentara od 2012. do 202</w:t>
      </w:r>
      <w:r w:rsidR="002B123B" w:rsidRPr="002B123B">
        <w:rPr>
          <w:rFonts w:ascii="Cambria" w:hAnsi="Cambria"/>
          <w:b/>
        </w:rPr>
        <w:t>3</w:t>
      </w:r>
      <w:r w:rsidR="00BF7776" w:rsidRPr="002B123B">
        <w:rPr>
          <w:rFonts w:ascii="Cambria" w:hAnsi="Cambria"/>
          <w:b/>
        </w:rPr>
        <w:t xml:space="preserve">. </w:t>
      </w:r>
      <w:r w:rsidRPr="002B123B">
        <w:rPr>
          <w:rFonts w:ascii="Cambria" w:hAnsi="Cambria"/>
          <w:b/>
        </w:rPr>
        <w:t xml:space="preserve"> godine</w:t>
      </w:r>
    </w:p>
    <w:p w:rsidR="00CC45E7" w:rsidRDefault="005E1548" w:rsidP="00962013">
      <w:pPr>
        <w:ind w:right="4"/>
        <w:jc w:val="both"/>
        <w:rPr>
          <w:rFonts w:ascii="Cambria" w:hAnsi="Cambria"/>
          <w:b/>
        </w:rPr>
      </w:pPr>
      <w:r>
        <w:rPr>
          <w:noProof/>
        </w:rPr>
        <w:drawing>
          <wp:inline distT="0" distB="0" distL="0" distR="0" wp14:anchorId="78A16B9F" wp14:editId="2B066D46">
            <wp:extent cx="5943600" cy="3153410"/>
            <wp:effectExtent l="0" t="0" r="0" b="8890"/>
            <wp:docPr id="7" name="Chart 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45E7" w:rsidRDefault="00CC45E7"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563EB6" w:rsidRDefault="00563EB6" w:rsidP="00962013">
      <w:pPr>
        <w:ind w:right="4"/>
        <w:jc w:val="both"/>
        <w:rPr>
          <w:rFonts w:ascii="Cambria" w:hAnsi="Cambria"/>
          <w:b/>
        </w:rPr>
      </w:pPr>
    </w:p>
    <w:p w:rsidR="00BF7776" w:rsidRDefault="00563EB6" w:rsidP="00962013">
      <w:pPr>
        <w:ind w:right="4"/>
        <w:jc w:val="both"/>
        <w:rPr>
          <w:rFonts w:ascii="Cambria" w:hAnsi="Cambria"/>
          <w:b/>
        </w:rPr>
      </w:pPr>
      <w:r>
        <w:rPr>
          <w:rFonts w:ascii="Cambria" w:hAnsi="Cambria"/>
          <w:b/>
        </w:rPr>
        <w:t>Grafički prikaz 7. Struktura podnositelja komentara</w:t>
      </w:r>
    </w:p>
    <w:p w:rsidR="00563EB6" w:rsidRDefault="00563EB6" w:rsidP="00962013">
      <w:pPr>
        <w:ind w:right="4"/>
        <w:jc w:val="both"/>
        <w:rPr>
          <w:rFonts w:ascii="Cambria" w:hAnsi="Cambria"/>
          <w:b/>
        </w:rPr>
      </w:pPr>
    </w:p>
    <w:p w:rsidR="00563EB6" w:rsidRDefault="00CB21ED" w:rsidP="00962013">
      <w:pPr>
        <w:ind w:right="4"/>
        <w:jc w:val="both"/>
        <w:rPr>
          <w:rFonts w:ascii="Cambria" w:hAnsi="Cambria"/>
          <w:b/>
        </w:rPr>
      </w:pPr>
      <w:r>
        <w:rPr>
          <w:noProof/>
        </w:rPr>
        <w:drawing>
          <wp:inline distT="0" distB="0" distL="0" distR="0" wp14:anchorId="1023183C" wp14:editId="676BE767">
            <wp:extent cx="5943600" cy="3771900"/>
            <wp:effectExtent l="0" t="0" r="0" b="0"/>
            <wp:docPr id="8" name="Chart 8">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6B55" w:rsidRDefault="00DC6B55" w:rsidP="00962013">
      <w:pPr>
        <w:ind w:right="4"/>
        <w:jc w:val="both"/>
        <w:rPr>
          <w:rFonts w:ascii="Cambria" w:hAnsi="Cambria"/>
          <w:b/>
        </w:rPr>
      </w:pPr>
    </w:p>
    <w:p w:rsidR="00BF7776" w:rsidRDefault="00BF7776" w:rsidP="00962013">
      <w:pPr>
        <w:ind w:right="4"/>
        <w:jc w:val="both"/>
        <w:rPr>
          <w:rFonts w:ascii="Cambria" w:hAnsi="Cambria"/>
          <w:b/>
        </w:rPr>
      </w:pPr>
    </w:p>
    <w:p w:rsidR="002B123B" w:rsidRDefault="002B123B" w:rsidP="00962013">
      <w:pPr>
        <w:ind w:right="4"/>
        <w:jc w:val="both"/>
        <w:rPr>
          <w:rFonts w:ascii="Cambria" w:hAnsi="Cambria"/>
          <w:b/>
        </w:rPr>
      </w:pPr>
    </w:p>
    <w:p w:rsidR="002B123B" w:rsidRDefault="002B123B" w:rsidP="00962013">
      <w:pPr>
        <w:ind w:right="4"/>
        <w:jc w:val="both"/>
        <w:rPr>
          <w:rFonts w:ascii="Cambria" w:hAnsi="Cambria"/>
          <w:b/>
        </w:rPr>
      </w:pPr>
    </w:p>
    <w:p w:rsidR="002B123B" w:rsidRDefault="002B123B" w:rsidP="00962013">
      <w:pPr>
        <w:ind w:right="4"/>
        <w:jc w:val="both"/>
        <w:rPr>
          <w:rFonts w:ascii="Cambria" w:hAnsi="Cambria"/>
          <w:b/>
        </w:rPr>
      </w:pPr>
    </w:p>
    <w:p w:rsidR="002B123B" w:rsidRDefault="002B123B" w:rsidP="00962013">
      <w:pPr>
        <w:ind w:right="4"/>
        <w:jc w:val="both"/>
        <w:rPr>
          <w:rFonts w:ascii="Cambria" w:hAnsi="Cambria"/>
          <w:b/>
        </w:rPr>
      </w:pPr>
    </w:p>
    <w:p w:rsidR="005500A8" w:rsidRDefault="005500A8" w:rsidP="00962013">
      <w:pPr>
        <w:ind w:right="4"/>
        <w:jc w:val="both"/>
        <w:rPr>
          <w:rFonts w:ascii="Cambria" w:hAnsi="Cambria"/>
          <w:b/>
        </w:rPr>
      </w:pPr>
    </w:p>
    <w:p w:rsidR="005500A8" w:rsidRDefault="005500A8" w:rsidP="00962013">
      <w:pPr>
        <w:ind w:right="4"/>
        <w:jc w:val="both"/>
        <w:rPr>
          <w:rFonts w:ascii="Cambria" w:hAnsi="Cambria"/>
          <w:b/>
        </w:rPr>
      </w:pPr>
    </w:p>
    <w:p w:rsidR="002B123B" w:rsidRDefault="002B123B" w:rsidP="00962013">
      <w:pPr>
        <w:ind w:right="4"/>
        <w:jc w:val="both"/>
        <w:rPr>
          <w:rFonts w:ascii="Cambria" w:hAnsi="Cambria"/>
          <w:b/>
        </w:rPr>
      </w:pPr>
    </w:p>
    <w:p w:rsidR="003A0940" w:rsidRDefault="003A0940" w:rsidP="00962013">
      <w:pPr>
        <w:ind w:right="4"/>
        <w:jc w:val="both"/>
        <w:rPr>
          <w:rFonts w:ascii="Cambria" w:hAnsi="Cambria"/>
          <w:b/>
        </w:rPr>
      </w:pPr>
    </w:p>
    <w:p w:rsidR="00BF7776" w:rsidRDefault="00BF7776" w:rsidP="00962013">
      <w:pPr>
        <w:ind w:right="4"/>
        <w:jc w:val="both"/>
        <w:rPr>
          <w:rFonts w:ascii="Cambria" w:hAnsi="Cambria"/>
          <w:b/>
        </w:rPr>
      </w:pPr>
    </w:p>
    <w:p w:rsidR="00FB0D46" w:rsidRDefault="00FB0D46" w:rsidP="00BB6483">
      <w:pPr>
        <w:jc w:val="both"/>
        <w:rPr>
          <w:noProof/>
          <w:lang w:eastAsia="hr-HR"/>
        </w:rPr>
      </w:pPr>
    </w:p>
    <w:p w:rsidR="00F41BE3" w:rsidRDefault="00DC69FD">
      <w:pPr>
        <w:rPr>
          <w:rFonts w:ascii="Cambria" w:hAnsi="Cambria"/>
          <w:b/>
        </w:rPr>
      </w:pPr>
      <w:r w:rsidRPr="009F5494">
        <w:rPr>
          <w:rFonts w:ascii="Cambria" w:hAnsi="Cambria"/>
          <w:b/>
        </w:rPr>
        <w:t>Tablica 2.: Broj podnositelja komentara po županijama</w:t>
      </w:r>
      <w:r>
        <w:rPr>
          <w:rStyle w:val="FootnoteReference"/>
          <w:rFonts w:ascii="Cambria" w:hAnsi="Cambria"/>
          <w:b/>
          <w:sz w:val="24"/>
          <w:szCs w:val="24"/>
        </w:rPr>
        <w:footnoteReference w:id="5"/>
      </w:r>
    </w:p>
    <w:p w:rsidR="00D952A0" w:rsidRDefault="000B02C2">
      <w:pPr>
        <w:rPr>
          <w:rFonts w:ascii="Cambria" w:hAnsi="Cambria"/>
          <w:b/>
        </w:rPr>
      </w:pPr>
      <w:r>
        <w:rPr>
          <w:rFonts w:ascii="Cambria" w:hAnsi="Cambria"/>
          <w:b/>
          <w:noProof/>
        </w:rPr>
        <w:drawing>
          <wp:inline distT="0" distB="0" distL="0" distR="0" wp14:anchorId="7DCCD7E2" wp14:editId="0300908C">
            <wp:extent cx="6667766" cy="333128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29640" cy="3362196"/>
                    </a:xfrm>
                    <a:prstGeom prst="rect">
                      <a:avLst/>
                    </a:prstGeom>
                    <a:noFill/>
                  </pic:spPr>
                </pic:pic>
              </a:graphicData>
            </a:graphic>
          </wp:inline>
        </w:drawing>
      </w:r>
    </w:p>
    <w:p w:rsidR="00D952A0" w:rsidRDefault="00D952A0">
      <w:pPr>
        <w:rPr>
          <w:rFonts w:ascii="Cambria" w:hAnsi="Cambria"/>
          <w:b/>
        </w:rPr>
      </w:pPr>
    </w:p>
    <w:p w:rsidR="00D952A0" w:rsidRDefault="00D952A0">
      <w:pPr>
        <w:rPr>
          <w:rFonts w:ascii="Cambria" w:hAnsi="Cambria"/>
          <w:b/>
        </w:rPr>
      </w:pPr>
    </w:p>
    <w:p w:rsidR="00D952A0" w:rsidRPr="00DC69FD" w:rsidRDefault="00D952A0">
      <w:pPr>
        <w:rPr>
          <w:rFonts w:ascii="Cambria" w:hAnsi="Cambria"/>
          <w:b/>
          <w:sz w:val="24"/>
          <w:szCs w:val="24"/>
        </w:rPr>
      </w:pPr>
    </w:p>
    <w:p w:rsidR="00650040" w:rsidRDefault="0083365D" w:rsidP="009F5494">
      <w:pPr>
        <w:pStyle w:val="Heading2"/>
        <w:spacing w:after="120"/>
      </w:pPr>
      <w:bookmarkStart w:id="16" w:name="_Toc176169394"/>
      <w:r>
        <w:t>3</w:t>
      </w:r>
      <w:r w:rsidR="00650040" w:rsidRPr="00AB758C">
        <w:t>.</w:t>
      </w:r>
      <w:r w:rsidR="00020BC1">
        <w:t>6</w:t>
      </w:r>
      <w:r w:rsidR="00650040" w:rsidRPr="00AB758C">
        <w:t>.</w:t>
      </w:r>
      <w:r w:rsidR="00EC220C" w:rsidRPr="00AB758C">
        <w:t xml:space="preserve"> Broj pristiglih komentara</w:t>
      </w:r>
      <w:bookmarkEnd w:id="16"/>
      <w:r w:rsidR="00EC220C" w:rsidRPr="00AB758C">
        <w:t xml:space="preserve"> </w:t>
      </w:r>
    </w:p>
    <w:p w:rsidR="00DC69FD" w:rsidRDefault="00DC69FD" w:rsidP="00DC69FD">
      <w:pPr>
        <w:jc w:val="both"/>
        <w:rPr>
          <w:rFonts w:ascii="Cambria" w:hAnsi="Cambria"/>
          <w:sz w:val="24"/>
          <w:szCs w:val="24"/>
        </w:rPr>
      </w:pPr>
      <w:r w:rsidRPr="00DC69FD">
        <w:rPr>
          <w:rFonts w:ascii="Cambria" w:hAnsi="Cambria"/>
          <w:sz w:val="24"/>
          <w:szCs w:val="24"/>
        </w:rPr>
        <w:t>U 20</w:t>
      </w:r>
      <w:r w:rsidR="00275E37">
        <w:rPr>
          <w:rFonts w:ascii="Cambria" w:hAnsi="Cambria"/>
          <w:sz w:val="24"/>
          <w:szCs w:val="24"/>
        </w:rPr>
        <w:t>2</w:t>
      </w:r>
      <w:r w:rsidR="00454A4F">
        <w:rPr>
          <w:rFonts w:ascii="Cambria" w:hAnsi="Cambria"/>
          <w:sz w:val="24"/>
          <w:szCs w:val="24"/>
        </w:rPr>
        <w:t>3</w:t>
      </w:r>
      <w:r w:rsidRPr="00DC69FD">
        <w:rPr>
          <w:rFonts w:ascii="Cambria" w:hAnsi="Cambria"/>
          <w:sz w:val="24"/>
          <w:szCs w:val="24"/>
        </w:rPr>
        <w:t xml:space="preserve">. godini ukupno je na nacrte zakona, drugih propisa i akata pristiglo </w:t>
      </w:r>
      <w:r w:rsidR="00454A4F">
        <w:rPr>
          <w:rFonts w:ascii="Cambria" w:hAnsi="Cambria"/>
          <w:sz w:val="24"/>
          <w:szCs w:val="24"/>
        </w:rPr>
        <w:t>199</w:t>
      </w:r>
      <w:r w:rsidR="00CB21ED">
        <w:rPr>
          <w:rFonts w:ascii="Cambria" w:hAnsi="Cambria"/>
          <w:sz w:val="24"/>
          <w:szCs w:val="24"/>
        </w:rPr>
        <w:t>91</w:t>
      </w:r>
      <w:r w:rsidR="00454A4F">
        <w:rPr>
          <w:rFonts w:ascii="Cambria" w:hAnsi="Cambria"/>
          <w:sz w:val="24"/>
          <w:szCs w:val="24"/>
        </w:rPr>
        <w:t xml:space="preserve"> </w:t>
      </w:r>
      <w:r w:rsidR="00275E37">
        <w:rPr>
          <w:rFonts w:ascii="Cambria" w:hAnsi="Cambria"/>
          <w:sz w:val="24"/>
          <w:szCs w:val="24"/>
        </w:rPr>
        <w:t xml:space="preserve">komentara. </w:t>
      </w:r>
      <w:r w:rsidR="00696351">
        <w:rPr>
          <w:rFonts w:ascii="Cambria" w:hAnsi="Cambria"/>
          <w:sz w:val="24"/>
          <w:szCs w:val="24"/>
        </w:rPr>
        <w:t xml:space="preserve">Broj zaprimljenih komentara </w:t>
      </w:r>
      <w:r w:rsidR="00454A4F">
        <w:rPr>
          <w:rFonts w:ascii="Cambria" w:hAnsi="Cambria"/>
          <w:sz w:val="24"/>
          <w:szCs w:val="24"/>
        </w:rPr>
        <w:t>znatno je manji</w:t>
      </w:r>
      <w:r w:rsidR="00696351">
        <w:rPr>
          <w:rFonts w:ascii="Cambria" w:hAnsi="Cambria"/>
          <w:sz w:val="24"/>
          <w:szCs w:val="24"/>
        </w:rPr>
        <w:t xml:space="preserve"> u odnosu na 202</w:t>
      </w:r>
      <w:r w:rsidR="00454A4F">
        <w:rPr>
          <w:rFonts w:ascii="Cambria" w:hAnsi="Cambria"/>
          <w:sz w:val="24"/>
          <w:szCs w:val="24"/>
        </w:rPr>
        <w:t>2</w:t>
      </w:r>
      <w:r w:rsidR="00696351">
        <w:rPr>
          <w:rFonts w:ascii="Cambria" w:hAnsi="Cambria"/>
          <w:sz w:val="24"/>
          <w:szCs w:val="24"/>
        </w:rPr>
        <w:t>. godinu</w:t>
      </w:r>
      <w:r w:rsidR="00275E37">
        <w:rPr>
          <w:rFonts w:ascii="Cambria" w:hAnsi="Cambria"/>
          <w:sz w:val="24"/>
          <w:szCs w:val="24"/>
        </w:rPr>
        <w:t xml:space="preserve"> kad je zaprimljeno </w:t>
      </w:r>
      <w:r w:rsidR="00454A4F" w:rsidRPr="00696351">
        <w:rPr>
          <w:rFonts w:ascii="Cambria" w:hAnsi="Cambria"/>
          <w:sz w:val="24"/>
          <w:szCs w:val="24"/>
        </w:rPr>
        <w:t>230</w:t>
      </w:r>
      <w:r w:rsidR="00454A4F">
        <w:rPr>
          <w:rFonts w:ascii="Cambria" w:hAnsi="Cambria"/>
          <w:sz w:val="24"/>
          <w:szCs w:val="24"/>
        </w:rPr>
        <w:t xml:space="preserve">69 </w:t>
      </w:r>
      <w:r w:rsidR="00696351">
        <w:rPr>
          <w:rFonts w:ascii="Cambria" w:hAnsi="Cambria"/>
          <w:sz w:val="24"/>
          <w:szCs w:val="24"/>
        </w:rPr>
        <w:t xml:space="preserve"> </w:t>
      </w:r>
      <w:r w:rsidRPr="00DC69FD">
        <w:rPr>
          <w:rFonts w:ascii="Cambria" w:hAnsi="Cambria"/>
          <w:sz w:val="24"/>
          <w:szCs w:val="24"/>
        </w:rPr>
        <w:t>komentara</w:t>
      </w:r>
      <w:r w:rsidR="00275E37">
        <w:rPr>
          <w:rFonts w:ascii="Cambria" w:hAnsi="Cambria"/>
          <w:sz w:val="24"/>
          <w:szCs w:val="24"/>
        </w:rPr>
        <w:t xml:space="preserve">. Od zaprimljenih komentara, prihvaćeno je </w:t>
      </w:r>
      <w:r w:rsidR="007215E6">
        <w:rPr>
          <w:rFonts w:ascii="Cambria" w:hAnsi="Cambria"/>
          <w:sz w:val="24"/>
          <w:szCs w:val="24"/>
        </w:rPr>
        <w:t>2049</w:t>
      </w:r>
      <w:r w:rsidR="007A1B69">
        <w:rPr>
          <w:rFonts w:ascii="Cambria" w:hAnsi="Cambria"/>
          <w:sz w:val="24"/>
          <w:szCs w:val="24"/>
        </w:rPr>
        <w:t xml:space="preserve"> komentara</w:t>
      </w:r>
      <w:r w:rsidR="00275E37">
        <w:rPr>
          <w:rFonts w:ascii="Cambria" w:hAnsi="Cambria"/>
          <w:sz w:val="24"/>
          <w:szCs w:val="24"/>
        </w:rPr>
        <w:t xml:space="preserve">, djelomično je prihvaćeno </w:t>
      </w:r>
      <w:r w:rsidR="00454A4F">
        <w:rPr>
          <w:rFonts w:ascii="Cambria" w:hAnsi="Cambria"/>
          <w:sz w:val="24"/>
          <w:szCs w:val="24"/>
        </w:rPr>
        <w:t>1</w:t>
      </w:r>
      <w:r w:rsidR="007215E6">
        <w:rPr>
          <w:rFonts w:ascii="Cambria" w:hAnsi="Cambria"/>
          <w:sz w:val="24"/>
          <w:szCs w:val="24"/>
        </w:rPr>
        <w:t>576</w:t>
      </w:r>
      <w:r w:rsidR="00275E37">
        <w:rPr>
          <w:rFonts w:ascii="Cambria" w:hAnsi="Cambria"/>
          <w:sz w:val="24"/>
          <w:szCs w:val="24"/>
        </w:rPr>
        <w:t xml:space="preserve"> komentara, </w:t>
      </w:r>
      <w:r w:rsidR="007215E6">
        <w:rPr>
          <w:rFonts w:ascii="Cambria" w:hAnsi="Cambria"/>
          <w:sz w:val="24"/>
          <w:szCs w:val="24"/>
        </w:rPr>
        <w:t>7647</w:t>
      </w:r>
      <w:r w:rsidR="00275E37">
        <w:rPr>
          <w:rFonts w:ascii="Cambria" w:hAnsi="Cambria"/>
          <w:sz w:val="24"/>
          <w:szCs w:val="24"/>
        </w:rPr>
        <w:t xml:space="preserve"> komentara je primljeno na znanje, </w:t>
      </w:r>
      <w:r w:rsidR="00454A4F">
        <w:rPr>
          <w:rFonts w:ascii="Cambria" w:hAnsi="Cambria"/>
          <w:sz w:val="24"/>
          <w:szCs w:val="24"/>
        </w:rPr>
        <w:t>8</w:t>
      </w:r>
      <w:r w:rsidR="007215E6">
        <w:rPr>
          <w:rFonts w:ascii="Cambria" w:hAnsi="Cambria"/>
          <w:sz w:val="24"/>
          <w:szCs w:val="24"/>
        </w:rPr>
        <w:t>444</w:t>
      </w:r>
      <w:r w:rsidR="00165913">
        <w:rPr>
          <w:rFonts w:ascii="Cambria" w:hAnsi="Cambria"/>
          <w:sz w:val="24"/>
          <w:szCs w:val="24"/>
        </w:rPr>
        <w:t xml:space="preserve"> </w:t>
      </w:r>
      <w:r w:rsidR="00275E37">
        <w:rPr>
          <w:rFonts w:ascii="Cambria" w:hAnsi="Cambria"/>
          <w:sz w:val="24"/>
          <w:szCs w:val="24"/>
        </w:rPr>
        <w:t xml:space="preserve">komentara nije prihvaćeno dok na </w:t>
      </w:r>
      <w:r w:rsidR="007215E6" w:rsidRPr="007215E6">
        <w:rPr>
          <w:rFonts w:ascii="Cambria" w:hAnsi="Cambria"/>
          <w:sz w:val="24"/>
          <w:szCs w:val="24"/>
        </w:rPr>
        <w:t>275</w:t>
      </w:r>
      <w:r w:rsidR="00275E37" w:rsidRPr="007215E6">
        <w:rPr>
          <w:rFonts w:ascii="Cambria" w:hAnsi="Cambria"/>
          <w:sz w:val="24"/>
          <w:szCs w:val="24"/>
        </w:rPr>
        <w:t xml:space="preserve"> komentara nije odgovoreno</w:t>
      </w:r>
      <w:r w:rsidR="00411F9F" w:rsidRPr="007215E6">
        <w:rPr>
          <w:rFonts w:ascii="Cambria" w:hAnsi="Cambria"/>
          <w:sz w:val="24"/>
          <w:szCs w:val="24"/>
        </w:rPr>
        <w:t xml:space="preserve"> </w:t>
      </w:r>
      <w:r w:rsidR="00275E37" w:rsidRPr="007215E6">
        <w:rPr>
          <w:rFonts w:ascii="Cambria" w:hAnsi="Cambria"/>
          <w:sz w:val="24"/>
          <w:szCs w:val="24"/>
        </w:rPr>
        <w:t>odnosno</w:t>
      </w:r>
      <w:r w:rsidR="00411F9F" w:rsidRPr="007215E6">
        <w:rPr>
          <w:rFonts w:ascii="Cambria" w:hAnsi="Cambria"/>
          <w:sz w:val="24"/>
          <w:szCs w:val="24"/>
        </w:rPr>
        <w:t xml:space="preserve"> izvješća o provedbi savjetovanja nisu bila objavljena u trenutku izrade ovog Izvješća</w:t>
      </w:r>
      <w:r w:rsidR="000314DC" w:rsidRPr="007215E6">
        <w:rPr>
          <w:rFonts w:ascii="Cambria" w:hAnsi="Cambria"/>
          <w:sz w:val="24"/>
          <w:szCs w:val="24"/>
        </w:rPr>
        <w:t>.</w:t>
      </w:r>
      <w:r w:rsidR="007A1B69">
        <w:rPr>
          <w:rFonts w:ascii="Cambria" w:hAnsi="Cambria"/>
          <w:sz w:val="24"/>
          <w:szCs w:val="24"/>
        </w:rPr>
        <w:t xml:space="preserve"> </w:t>
      </w:r>
    </w:p>
    <w:p w:rsidR="00D94F06" w:rsidRDefault="00D94F06" w:rsidP="00DC69FD">
      <w:pPr>
        <w:jc w:val="both"/>
        <w:rPr>
          <w:rFonts w:ascii="Cambria" w:hAnsi="Cambria"/>
          <w:b/>
        </w:rPr>
      </w:pPr>
    </w:p>
    <w:p w:rsidR="00CB21ED" w:rsidRDefault="00CB21ED" w:rsidP="00DC69FD">
      <w:pPr>
        <w:jc w:val="both"/>
        <w:rPr>
          <w:rFonts w:ascii="Cambria" w:hAnsi="Cambria"/>
          <w:b/>
        </w:rPr>
      </w:pPr>
    </w:p>
    <w:p w:rsidR="00CB21ED" w:rsidRDefault="00CB21ED" w:rsidP="00DC69FD">
      <w:pPr>
        <w:jc w:val="both"/>
        <w:rPr>
          <w:rFonts w:ascii="Cambria" w:hAnsi="Cambria"/>
          <w:b/>
        </w:rPr>
      </w:pPr>
    </w:p>
    <w:p w:rsidR="00CB21ED" w:rsidRDefault="00CB21ED" w:rsidP="00DC69FD">
      <w:pPr>
        <w:jc w:val="both"/>
        <w:rPr>
          <w:rFonts w:ascii="Cambria" w:hAnsi="Cambria"/>
          <w:b/>
        </w:rPr>
      </w:pPr>
    </w:p>
    <w:p w:rsidR="00CB21ED" w:rsidRDefault="00CB21ED" w:rsidP="00DC69FD">
      <w:pPr>
        <w:jc w:val="both"/>
        <w:rPr>
          <w:rFonts w:ascii="Cambria" w:hAnsi="Cambria"/>
          <w:b/>
        </w:rPr>
      </w:pPr>
    </w:p>
    <w:p w:rsidR="00CB21ED" w:rsidRDefault="00CB21ED" w:rsidP="00DC69FD">
      <w:pPr>
        <w:jc w:val="both"/>
        <w:rPr>
          <w:rFonts w:ascii="Cambria" w:hAnsi="Cambria"/>
          <w:b/>
        </w:rPr>
      </w:pPr>
    </w:p>
    <w:p w:rsidR="00FB0D46" w:rsidRDefault="00FB0D46" w:rsidP="00DC69FD">
      <w:pPr>
        <w:jc w:val="both"/>
        <w:rPr>
          <w:rFonts w:ascii="Cambria" w:hAnsi="Cambria"/>
          <w:b/>
        </w:rPr>
      </w:pPr>
      <w:r w:rsidRPr="00FB0D46">
        <w:rPr>
          <w:rFonts w:ascii="Cambria" w:hAnsi="Cambria"/>
          <w:b/>
        </w:rPr>
        <w:t xml:space="preserve">Grafički prikaz </w:t>
      </w:r>
      <w:r w:rsidR="00563EB6">
        <w:rPr>
          <w:rFonts w:ascii="Cambria" w:hAnsi="Cambria"/>
          <w:b/>
        </w:rPr>
        <w:t>8</w:t>
      </w:r>
      <w:r w:rsidRPr="00FB0D46">
        <w:rPr>
          <w:rFonts w:ascii="Cambria" w:hAnsi="Cambria"/>
          <w:b/>
        </w:rPr>
        <w:t>: Struktura pristiglih komentara</w:t>
      </w:r>
    </w:p>
    <w:p w:rsidR="00FB0D46" w:rsidRPr="00FB0D46" w:rsidRDefault="00454A4F" w:rsidP="00DC69FD">
      <w:pPr>
        <w:jc w:val="both"/>
        <w:rPr>
          <w:rFonts w:ascii="Cambria" w:hAnsi="Cambria"/>
          <w:b/>
        </w:rPr>
      </w:pPr>
      <w:r>
        <w:rPr>
          <w:noProof/>
        </w:rPr>
        <w:drawing>
          <wp:inline distT="0" distB="0" distL="0" distR="0" wp14:anchorId="6340DB82" wp14:editId="26DA9118">
            <wp:extent cx="5943600" cy="3555365"/>
            <wp:effectExtent l="0" t="0" r="0" b="6985"/>
            <wp:docPr id="15" name="Chart 15">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63EB6" w:rsidRDefault="00563EB6" w:rsidP="009F5494">
      <w:pPr>
        <w:pStyle w:val="Heading2"/>
        <w:spacing w:after="120"/>
        <w:rPr>
          <w:color w:val="0070C0"/>
        </w:rPr>
      </w:pPr>
    </w:p>
    <w:p w:rsidR="00EC220C" w:rsidRPr="008F5BEE" w:rsidRDefault="0083365D" w:rsidP="009F5494">
      <w:pPr>
        <w:pStyle w:val="Heading2"/>
        <w:spacing w:after="120"/>
        <w:rPr>
          <w:color w:val="0070C0"/>
        </w:rPr>
      </w:pPr>
      <w:bookmarkStart w:id="17" w:name="_Toc176169395"/>
      <w:r>
        <w:rPr>
          <w:color w:val="0070C0"/>
        </w:rPr>
        <w:t>3</w:t>
      </w:r>
      <w:r w:rsidR="00EC220C" w:rsidRPr="008F5BEE">
        <w:rPr>
          <w:color w:val="0070C0"/>
        </w:rPr>
        <w:t>.</w:t>
      </w:r>
      <w:r w:rsidR="00020BC1">
        <w:rPr>
          <w:color w:val="0070C0"/>
        </w:rPr>
        <w:t>7</w:t>
      </w:r>
      <w:r w:rsidR="00EC220C" w:rsidRPr="008F5BEE">
        <w:rPr>
          <w:color w:val="0070C0"/>
        </w:rPr>
        <w:t xml:space="preserve">. </w:t>
      </w:r>
      <w:r w:rsidR="008C401F">
        <w:rPr>
          <w:color w:val="0070C0"/>
        </w:rPr>
        <w:t>I</w:t>
      </w:r>
      <w:r w:rsidR="00EC220C" w:rsidRPr="008F5BEE">
        <w:rPr>
          <w:color w:val="0070C0"/>
        </w:rPr>
        <w:t>zvješće o provedenom savjetovanju</w:t>
      </w:r>
      <w:bookmarkEnd w:id="17"/>
    </w:p>
    <w:p w:rsidR="006625FB" w:rsidRPr="00D02549" w:rsidRDefault="00C70FDB" w:rsidP="00D02549">
      <w:pPr>
        <w:jc w:val="both"/>
        <w:rPr>
          <w:rFonts w:ascii="Cambria" w:hAnsi="Cambria"/>
          <w:sz w:val="24"/>
          <w:szCs w:val="24"/>
        </w:rPr>
      </w:pPr>
      <w:r>
        <w:rPr>
          <w:rFonts w:ascii="Cambria" w:hAnsi="Cambria"/>
          <w:sz w:val="24"/>
          <w:szCs w:val="24"/>
        </w:rPr>
        <w:t xml:space="preserve">Tijelo državne uprave </w:t>
      </w:r>
      <w:r w:rsidR="003E3A37">
        <w:rPr>
          <w:rFonts w:ascii="Cambria" w:hAnsi="Cambria"/>
          <w:sz w:val="24"/>
          <w:szCs w:val="24"/>
        </w:rPr>
        <w:t>il</w:t>
      </w:r>
      <w:r>
        <w:rPr>
          <w:rFonts w:ascii="Cambria" w:hAnsi="Cambria"/>
          <w:sz w:val="24"/>
          <w:szCs w:val="24"/>
        </w:rPr>
        <w:t>i d</w:t>
      </w:r>
      <w:r w:rsidR="00AA50E7" w:rsidRPr="00D02549">
        <w:rPr>
          <w:rFonts w:ascii="Cambria" w:hAnsi="Cambria"/>
          <w:sz w:val="24"/>
          <w:szCs w:val="24"/>
        </w:rPr>
        <w:t>ržavno tijelo</w:t>
      </w:r>
      <w:r w:rsidR="006625FB" w:rsidRPr="00D02549">
        <w:rPr>
          <w:rFonts w:ascii="Cambria" w:hAnsi="Cambria"/>
          <w:sz w:val="24"/>
          <w:szCs w:val="24"/>
        </w:rPr>
        <w:t xml:space="preserve"> koje je provelo savjetovanje s javnošću dužno je</w:t>
      </w:r>
      <w:r w:rsidR="008C401F" w:rsidRPr="00D02549">
        <w:rPr>
          <w:rFonts w:ascii="Cambria" w:hAnsi="Cambria"/>
          <w:sz w:val="24"/>
          <w:szCs w:val="24"/>
        </w:rPr>
        <w:t>,</w:t>
      </w:r>
      <w:r w:rsidR="006625FB" w:rsidRPr="00D02549">
        <w:rPr>
          <w:rFonts w:ascii="Cambria" w:hAnsi="Cambria"/>
          <w:sz w:val="24"/>
          <w:szCs w:val="24"/>
        </w:rPr>
        <w:t xml:space="preserve"> po proteku razumnog roka od zaključenja savjetovanja</w:t>
      </w:r>
      <w:r w:rsidR="008C401F" w:rsidRPr="00D02549">
        <w:rPr>
          <w:rFonts w:ascii="Cambria" w:hAnsi="Cambria"/>
          <w:sz w:val="24"/>
          <w:szCs w:val="24"/>
        </w:rPr>
        <w:t>,</w:t>
      </w:r>
      <w:r w:rsidR="006625FB" w:rsidRPr="00D02549">
        <w:rPr>
          <w:rFonts w:ascii="Cambria" w:hAnsi="Cambria"/>
          <w:sz w:val="24"/>
          <w:szCs w:val="24"/>
        </w:rPr>
        <w:t xml:space="preserve"> na istome mjestu na kojem je savjetovanje bilo objavljeno objaviti i izvješće o provedenom savjetovanju</w:t>
      </w:r>
      <w:r w:rsidR="008C401F" w:rsidRPr="00D02549">
        <w:rPr>
          <w:rFonts w:ascii="Cambria" w:hAnsi="Cambria"/>
          <w:sz w:val="24"/>
          <w:szCs w:val="24"/>
        </w:rPr>
        <w:t xml:space="preserve">. </w:t>
      </w:r>
      <w:r w:rsidR="00D02549" w:rsidRPr="00D02549">
        <w:rPr>
          <w:rFonts w:ascii="Cambria" w:hAnsi="Cambria"/>
          <w:sz w:val="24"/>
          <w:szCs w:val="24"/>
        </w:rPr>
        <w:t xml:space="preserve">Uspostavom portala e-Savjetovanja priprema i objava izvješća o provedenom savjetovanju olakšana je, a sva izvješća se objavljuju u samom sustavu pri čemu korisnici koji su ostavili komentar automatski dobiju obavijest o objavljenom izvješću. </w:t>
      </w:r>
    </w:p>
    <w:p w:rsidR="00D7027C" w:rsidRDefault="00D02549" w:rsidP="00D02549">
      <w:pPr>
        <w:jc w:val="both"/>
      </w:pPr>
      <w:r w:rsidRPr="00D02549">
        <w:rPr>
          <w:rFonts w:ascii="Cambria" w:hAnsi="Cambria"/>
          <w:sz w:val="24"/>
          <w:szCs w:val="24"/>
        </w:rPr>
        <w:t xml:space="preserve">Zakonom o instrumentima politike boljih propisuje se </w:t>
      </w:r>
      <w:r w:rsidR="005760C4">
        <w:rPr>
          <w:rFonts w:ascii="Cambria" w:hAnsi="Cambria"/>
          <w:sz w:val="24"/>
          <w:szCs w:val="24"/>
        </w:rPr>
        <w:t xml:space="preserve">uvjet za daljnju proceduru odnosno </w:t>
      </w:r>
      <w:r w:rsidRPr="00D02549">
        <w:rPr>
          <w:rFonts w:ascii="Cambria" w:hAnsi="Cambria"/>
          <w:sz w:val="24"/>
          <w:szCs w:val="24"/>
        </w:rPr>
        <w:t>rok za objavu Izvješća o provedenom savjetovanju. Nakon provedenog postupka savjetovanja s javnošću, a prije upućivanja propisa u proceduru usvajanja u skladu s Poslovnikom Vlade</w:t>
      </w:r>
      <w:r w:rsidR="00BB16D0">
        <w:rPr>
          <w:rFonts w:ascii="Cambria" w:hAnsi="Cambria"/>
          <w:sz w:val="24"/>
          <w:szCs w:val="24"/>
        </w:rPr>
        <w:t xml:space="preserve"> Republike Hrvatske</w:t>
      </w:r>
      <w:r w:rsidRPr="00D02549">
        <w:rPr>
          <w:rFonts w:ascii="Cambria" w:hAnsi="Cambria"/>
          <w:sz w:val="24"/>
          <w:szCs w:val="24"/>
        </w:rPr>
        <w:t xml:space="preserve">, stručni nositelj obvezno objavljuje Izvješće o provedenom savjetovanju s javnošću na portalu e-Savjetovanja. Pri izradi Izvješća obvezno se analizira svaki prijedlog i mišljenje zaprimljeno u postupku savjetovanja, a pisana analiza dostavljenih primjedbi sastavni je dio Izvješća. Prijedlog i mišljenje stručni nositelj može prihvatiti, djelomično prihvatiti, ne prihvatiti ili primiti na znanje, uz obvezno odgovarajuće obrazloženje. Rezultat provedenog postupka savjetovanja s javnošću vidljiv je na propisanom Obrascu izvješća o provedenom savjetovanju s javnošću koji sadrži opće informacije o nacrtu zakona, drugog propisa ili akta i analizu svakog prijedloga i mišljenja </w:t>
      </w:r>
      <w:r w:rsidRPr="00D02549">
        <w:rPr>
          <w:rFonts w:ascii="Cambria" w:hAnsi="Cambria"/>
          <w:sz w:val="24"/>
          <w:szCs w:val="24"/>
        </w:rPr>
        <w:lastRenderedPageBreak/>
        <w:t xml:space="preserve">zaprimljenog u postupku savjetovanja. Ponekad je pristigle prijedloge moguće samo primiti na znanje, budući se po svojoj naravi ne odnose izravno na prijedlog propisa. Samo popisivanje pristiglih prijedloga i primjedbi, bez očitovanja </w:t>
      </w:r>
      <w:r w:rsidR="00144A8E">
        <w:rPr>
          <w:rFonts w:ascii="Cambria" w:hAnsi="Cambria"/>
          <w:sz w:val="24"/>
          <w:szCs w:val="24"/>
        </w:rPr>
        <w:t xml:space="preserve">nadležnih </w:t>
      </w:r>
      <w:r w:rsidRPr="00D02549">
        <w:rPr>
          <w:rFonts w:ascii="Cambria" w:hAnsi="Cambria"/>
          <w:sz w:val="24"/>
          <w:szCs w:val="24"/>
        </w:rPr>
        <w:t>tijela na iste, ne predstavlja primjereno ispunjavanje zakonske obveze. Najava objavljivanja izvješća i njegova objava nužna je radi dvosmjerne komunikacije s javnošću i pružanja povratne informacije, te u konačnici izgradnje kulture povjerenja.</w:t>
      </w:r>
    </w:p>
    <w:p w:rsidR="00FF70E3" w:rsidRPr="00D7027C" w:rsidRDefault="00FF70E3" w:rsidP="00D7027C"/>
    <w:p w:rsidR="003525C7" w:rsidRDefault="0083365D" w:rsidP="00015400">
      <w:pPr>
        <w:pStyle w:val="Heading1"/>
        <w:rPr>
          <w:b/>
        </w:rPr>
      </w:pPr>
      <w:bookmarkStart w:id="18" w:name="_Toc176169396"/>
      <w:r>
        <w:rPr>
          <w:b/>
        </w:rPr>
        <w:t>4</w:t>
      </w:r>
      <w:r w:rsidR="00EC220C" w:rsidRPr="0093354A">
        <w:rPr>
          <w:b/>
        </w:rPr>
        <w:t xml:space="preserve">. </w:t>
      </w:r>
      <w:r w:rsidR="00A6306B" w:rsidRPr="0093354A">
        <w:rPr>
          <w:b/>
        </w:rPr>
        <w:t xml:space="preserve">DALJNJI RAZVOJ SAVJETOVANJA </w:t>
      </w:r>
      <w:r w:rsidR="00762EBE" w:rsidRPr="0093354A">
        <w:rPr>
          <w:b/>
        </w:rPr>
        <w:t>S</w:t>
      </w:r>
      <w:r w:rsidR="00A6306B" w:rsidRPr="0093354A">
        <w:rPr>
          <w:b/>
        </w:rPr>
        <w:t xml:space="preserve"> JAVNOŠĆU U 20</w:t>
      </w:r>
      <w:r w:rsidR="001452EE" w:rsidRPr="0093354A">
        <w:rPr>
          <w:b/>
        </w:rPr>
        <w:t>2</w:t>
      </w:r>
      <w:r w:rsidR="00454A4F">
        <w:rPr>
          <w:b/>
        </w:rPr>
        <w:t>4</w:t>
      </w:r>
      <w:r w:rsidR="00A6306B" w:rsidRPr="0093354A">
        <w:rPr>
          <w:b/>
        </w:rPr>
        <w:t>. GODINI</w:t>
      </w:r>
      <w:bookmarkEnd w:id="18"/>
    </w:p>
    <w:p w:rsidR="00C23E53" w:rsidRDefault="00C23E53" w:rsidP="00C23E53"/>
    <w:p w:rsidR="00D02549" w:rsidRPr="00895203" w:rsidRDefault="005610F4" w:rsidP="00895203">
      <w:pPr>
        <w:jc w:val="both"/>
        <w:rPr>
          <w:rFonts w:ascii="Cambria" w:hAnsi="Cambria"/>
          <w:sz w:val="24"/>
          <w:szCs w:val="24"/>
        </w:rPr>
      </w:pPr>
      <w:r w:rsidRPr="00895203">
        <w:rPr>
          <w:rFonts w:ascii="Cambria" w:hAnsi="Cambria"/>
          <w:sz w:val="24"/>
          <w:szCs w:val="24"/>
        </w:rPr>
        <w:t xml:space="preserve">Ured za zakonodavstvo će u okviru svog djelokruga </w:t>
      </w:r>
      <w:r w:rsidR="007926D1" w:rsidRPr="00895203">
        <w:rPr>
          <w:rFonts w:ascii="Cambria" w:hAnsi="Cambria"/>
          <w:sz w:val="24"/>
          <w:szCs w:val="24"/>
        </w:rPr>
        <w:t xml:space="preserve">i nadalje </w:t>
      </w:r>
      <w:r w:rsidRPr="00895203">
        <w:rPr>
          <w:rFonts w:ascii="Cambria" w:hAnsi="Cambria"/>
          <w:sz w:val="24"/>
          <w:szCs w:val="24"/>
        </w:rPr>
        <w:t xml:space="preserve">utjecati na dosljedno izvršavanje obveza savjetovanja </w:t>
      </w:r>
      <w:r w:rsidR="00AB5998" w:rsidRPr="00895203">
        <w:rPr>
          <w:rFonts w:ascii="Cambria" w:hAnsi="Cambria"/>
          <w:sz w:val="24"/>
          <w:szCs w:val="24"/>
        </w:rPr>
        <w:t>s</w:t>
      </w:r>
      <w:r w:rsidRPr="00895203">
        <w:rPr>
          <w:rFonts w:ascii="Cambria" w:hAnsi="Cambria"/>
          <w:sz w:val="24"/>
          <w:szCs w:val="24"/>
        </w:rPr>
        <w:t xml:space="preserve"> javnošću putem koordinacije, kontrole i nadzora rada tijela državne uprave u području savjetovanja s javnošću u postupcima donošenja zakona, drugih propisa i akata</w:t>
      </w:r>
      <w:r w:rsidR="007F55C4" w:rsidRPr="00895203">
        <w:rPr>
          <w:rFonts w:ascii="Cambria" w:hAnsi="Cambria"/>
          <w:sz w:val="24"/>
          <w:szCs w:val="24"/>
        </w:rPr>
        <w:t>,</w:t>
      </w:r>
      <w:r w:rsidRPr="00895203">
        <w:rPr>
          <w:rFonts w:ascii="Cambria" w:hAnsi="Cambria"/>
          <w:sz w:val="24"/>
          <w:szCs w:val="24"/>
        </w:rPr>
        <w:t xml:space="preserve"> </w:t>
      </w:r>
      <w:r w:rsidR="007F55C4" w:rsidRPr="00895203">
        <w:rPr>
          <w:rFonts w:ascii="Cambria" w:hAnsi="Cambria"/>
          <w:sz w:val="24"/>
          <w:szCs w:val="24"/>
        </w:rPr>
        <w:t xml:space="preserve">u suradnji s Uredom predsjednika Vlade Republike Hrvatske </w:t>
      </w:r>
      <w:r w:rsidR="00D02549" w:rsidRPr="00895203">
        <w:rPr>
          <w:rFonts w:ascii="Cambria" w:hAnsi="Cambria"/>
          <w:sz w:val="24"/>
          <w:szCs w:val="24"/>
        </w:rPr>
        <w:t>i tijelom državne uprave nadležnim za razvoj digitalnog društva.</w:t>
      </w:r>
    </w:p>
    <w:p w:rsidR="00895203" w:rsidRDefault="007F55C4" w:rsidP="00895203">
      <w:pPr>
        <w:jc w:val="both"/>
        <w:rPr>
          <w:rFonts w:ascii="Cambria" w:hAnsi="Cambria"/>
          <w:sz w:val="24"/>
          <w:szCs w:val="24"/>
        </w:rPr>
      </w:pPr>
      <w:r w:rsidRPr="00895203">
        <w:rPr>
          <w:rFonts w:ascii="Cambria" w:hAnsi="Cambria"/>
          <w:sz w:val="24"/>
          <w:szCs w:val="24"/>
        </w:rPr>
        <w:t>Ured će isto činiti i</w:t>
      </w:r>
      <w:r w:rsidR="005610F4" w:rsidRPr="00895203">
        <w:rPr>
          <w:rFonts w:ascii="Cambria" w:hAnsi="Cambria"/>
          <w:sz w:val="24"/>
          <w:szCs w:val="24"/>
        </w:rPr>
        <w:t xml:space="preserve"> kroz primjenu </w:t>
      </w:r>
      <w:r w:rsidR="00D02549" w:rsidRPr="00895203">
        <w:rPr>
          <w:rFonts w:ascii="Cambria" w:hAnsi="Cambria"/>
          <w:sz w:val="24"/>
          <w:szCs w:val="24"/>
        </w:rPr>
        <w:t>Zakona o instrumentima politike boljih propisa</w:t>
      </w:r>
      <w:r w:rsidR="005610F4" w:rsidRPr="00895203">
        <w:rPr>
          <w:rFonts w:ascii="Cambria" w:hAnsi="Cambria"/>
          <w:sz w:val="24"/>
          <w:szCs w:val="24"/>
        </w:rPr>
        <w:t xml:space="preserve">, </w:t>
      </w:r>
      <w:r w:rsidR="008A595F">
        <w:rPr>
          <w:rFonts w:ascii="Cambria" w:hAnsi="Cambria"/>
          <w:sz w:val="24"/>
          <w:szCs w:val="24"/>
        </w:rPr>
        <w:t xml:space="preserve">a posebice </w:t>
      </w:r>
      <w:r w:rsidR="00DA242B">
        <w:rPr>
          <w:rFonts w:ascii="Cambria" w:hAnsi="Cambria"/>
          <w:sz w:val="24"/>
          <w:szCs w:val="24"/>
        </w:rPr>
        <w:t>u skladu s člankom</w:t>
      </w:r>
      <w:r w:rsidR="008A595F" w:rsidRPr="008A595F">
        <w:rPr>
          <w:rFonts w:ascii="Cambria" w:hAnsi="Cambria"/>
          <w:sz w:val="24"/>
          <w:szCs w:val="24"/>
        </w:rPr>
        <w:t xml:space="preserve"> 35. stavku 4. Zakona o instrumentima politike boljih propisa </w:t>
      </w:r>
      <w:r w:rsidR="008C4D21">
        <w:rPr>
          <w:rFonts w:ascii="Cambria" w:hAnsi="Cambria"/>
          <w:sz w:val="24"/>
          <w:szCs w:val="24"/>
        </w:rPr>
        <w:t>kojim</w:t>
      </w:r>
      <w:r w:rsidR="008A595F">
        <w:rPr>
          <w:rFonts w:ascii="Cambria" w:hAnsi="Cambria"/>
          <w:sz w:val="24"/>
          <w:szCs w:val="24"/>
        </w:rPr>
        <w:t xml:space="preserve"> je propi</w:t>
      </w:r>
      <w:r w:rsidR="008C4D21">
        <w:rPr>
          <w:rFonts w:ascii="Cambria" w:hAnsi="Cambria"/>
          <w:sz w:val="24"/>
          <w:szCs w:val="24"/>
        </w:rPr>
        <w:t xml:space="preserve">sano da </w:t>
      </w:r>
      <w:r w:rsidR="008A595F" w:rsidRPr="008A595F">
        <w:rPr>
          <w:rFonts w:ascii="Cambria" w:hAnsi="Cambria"/>
          <w:sz w:val="24"/>
          <w:szCs w:val="24"/>
        </w:rPr>
        <w:t>Ured za zakonodavstvo provodi stručni nadzor savjetovanja s javnošću u smislu provedbe članaka 27. i 28. predmetnog Zakona, odnosno trajanja savjetovanja s javnošću u propisanom roku, izrade i objave Izvješća o provedenom savjetovanju te primjeni iznimaka u provedbi postupka savjetovanja s javnošću.</w:t>
      </w:r>
    </w:p>
    <w:p w:rsidR="008C4D21" w:rsidRDefault="008C4D21" w:rsidP="008C4D21">
      <w:pPr>
        <w:jc w:val="both"/>
        <w:rPr>
          <w:rFonts w:ascii="Cambria" w:hAnsi="Cambria"/>
          <w:sz w:val="24"/>
          <w:szCs w:val="24"/>
        </w:rPr>
      </w:pPr>
      <w:r w:rsidRPr="008C4D21">
        <w:rPr>
          <w:rFonts w:ascii="Cambria" w:hAnsi="Cambria"/>
          <w:sz w:val="24"/>
          <w:szCs w:val="24"/>
        </w:rPr>
        <w:t>Završetkom projekta</w:t>
      </w:r>
      <w:r>
        <w:rPr>
          <w:rFonts w:ascii="Cambria" w:hAnsi="Cambria"/>
          <w:sz w:val="24"/>
          <w:szCs w:val="24"/>
        </w:rPr>
        <w:t xml:space="preserve"> unaprjeđenja portala e-Savjetovanja te posebice njegovim povezivanjem s portalom e-Građani te integracijom sa sustavom </w:t>
      </w:r>
      <w:r w:rsidRPr="008C4D21">
        <w:rPr>
          <w:rFonts w:ascii="Cambria" w:hAnsi="Cambria"/>
          <w:sz w:val="24"/>
          <w:szCs w:val="24"/>
        </w:rPr>
        <w:t xml:space="preserve">e-Ovlaštenja, </w:t>
      </w:r>
      <w:r w:rsidR="00DA242B">
        <w:rPr>
          <w:rFonts w:ascii="Cambria" w:hAnsi="Cambria"/>
          <w:sz w:val="24"/>
          <w:szCs w:val="24"/>
        </w:rPr>
        <w:t>započela je nova faza u primjeni portala e-Savjetovanja, koja</w:t>
      </w:r>
      <w:r w:rsidR="00DA242B" w:rsidRPr="00DA242B">
        <w:rPr>
          <w:rFonts w:ascii="Cambria" w:hAnsi="Cambria"/>
          <w:sz w:val="24"/>
          <w:szCs w:val="24"/>
        </w:rPr>
        <w:t xml:space="preserve"> tijelima i korisnicima omogućava dodatnu razinu sigurnosti korištenja usluge.</w:t>
      </w:r>
    </w:p>
    <w:p w:rsidR="008C4D21" w:rsidRDefault="008C4D21" w:rsidP="008C4D21">
      <w:pPr>
        <w:jc w:val="both"/>
        <w:rPr>
          <w:rFonts w:ascii="Cambria" w:hAnsi="Cambria"/>
          <w:sz w:val="24"/>
          <w:szCs w:val="24"/>
        </w:rPr>
      </w:pPr>
      <w:r>
        <w:rPr>
          <w:rFonts w:ascii="Cambria" w:hAnsi="Cambria"/>
          <w:sz w:val="24"/>
          <w:szCs w:val="24"/>
        </w:rPr>
        <w:t xml:space="preserve">Projektom je omogućeno i da </w:t>
      </w:r>
      <w:r w:rsidR="00DA242B" w:rsidRPr="00DA242B">
        <w:rPr>
          <w:rFonts w:ascii="Cambria" w:hAnsi="Cambria"/>
          <w:sz w:val="24"/>
          <w:szCs w:val="24"/>
        </w:rPr>
        <w:t xml:space="preserve">jedinice lokalne i područne (regionalne) samouprave </w:t>
      </w:r>
      <w:r w:rsidR="00DA242B">
        <w:rPr>
          <w:rFonts w:ascii="Cambria" w:hAnsi="Cambria"/>
          <w:sz w:val="24"/>
          <w:szCs w:val="24"/>
        </w:rPr>
        <w:t>imaju</w:t>
      </w:r>
      <w:r w:rsidRPr="008C4D21">
        <w:rPr>
          <w:rFonts w:ascii="Cambria" w:hAnsi="Cambria"/>
          <w:sz w:val="24"/>
          <w:szCs w:val="24"/>
        </w:rPr>
        <w:t xml:space="preserve"> mogućnost provoditi svoja savjetovanja putem platforme, međutim zakonska odredba Zakona o pravu na pristup informacijama</w:t>
      </w:r>
      <w:r w:rsidR="00DA242B">
        <w:rPr>
          <w:rFonts w:ascii="Cambria" w:hAnsi="Cambria"/>
          <w:sz w:val="24"/>
          <w:szCs w:val="24"/>
        </w:rPr>
        <w:t>,</w:t>
      </w:r>
      <w:r w:rsidRPr="008C4D21">
        <w:rPr>
          <w:rFonts w:ascii="Cambria" w:hAnsi="Cambria"/>
          <w:sz w:val="24"/>
          <w:szCs w:val="24"/>
        </w:rPr>
        <w:t xml:space="preserve"> </w:t>
      </w:r>
      <w:r w:rsidR="00DA242B" w:rsidRPr="008C4D21">
        <w:rPr>
          <w:rFonts w:ascii="Cambria" w:hAnsi="Cambria"/>
          <w:sz w:val="24"/>
          <w:szCs w:val="24"/>
        </w:rPr>
        <w:t>omogućuje</w:t>
      </w:r>
      <w:r w:rsidR="00DA242B" w:rsidRPr="00DA242B">
        <w:rPr>
          <w:rFonts w:ascii="Cambria" w:hAnsi="Cambria"/>
          <w:sz w:val="24"/>
          <w:szCs w:val="24"/>
        </w:rPr>
        <w:t xml:space="preserve"> jedinic</w:t>
      </w:r>
      <w:r w:rsidR="00DA242B">
        <w:rPr>
          <w:rFonts w:ascii="Cambria" w:hAnsi="Cambria"/>
          <w:sz w:val="24"/>
          <w:szCs w:val="24"/>
        </w:rPr>
        <w:t>ama</w:t>
      </w:r>
      <w:r w:rsidR="00DA242B" w:rsidRPr="00DA242B">
        <w:rPr>
          <w:rFonts w:ascii="Cambria" w:hAnsi="Cambria"/>
          <w:sz w:val="24"/>
          <w:szCs w:val="24"/>
        </w:rPr>
        <w:t xml:space="preserve"> lokalne i područne (regionalne) samouprave </w:t>
      </w:r>
      <w:r w:rsidRPr="008C4D21">
        <w:rPr>
          <w:rFonts w:ascii="Cambria" w:hAnsi="Cambria"/>
          <w:sz w:val="24"/>
          <w:szCs w:val="24"/>
        </w:rPr>
        <w:t xml:space="preserve">da svoja savjetovanja provode ili preko svoje </w:t>
      </w:r>
      <w:r w:rsidR="002F77C5">
        <w:rPr>
          <w:rFonts w:ascii="Cambria" w:hAnsi="Cambria"/>
          <w:sz w:val="24"/>
          <w:szCs w:val="24"/>
        </w:rPr>
        <w:t>mrežne</w:t>
      </w:r>
      <w:r w:rsidRPr="008C4D21">
        <w:rPr>
          <w:rFonts w:ascii="Cambria" w:hAnsi="Cambria"/>
          <w:sz w:val="24"/>
          <w:szCs w:val="24"/>
        </w:rPr>
        <w:t xml:space="preserve"> stranice ili putem </w:t>
      </w:r>
      <w:r>
        <w:rPr>
          <w:rFonts w:ascii="Cambria" w:hAnsi="Cambria"/>
          <w:sz w:val="24"/>
          <w:szCs w:val="24"/>
        </w:rPr>
        <w:t>portala e-Savjetovanja</w:t>
      </w:r>
      <w:r w:rsidRPr="008C4D21">
        <w:rPr>
          <w:rFonts w:ascii="Cambria" w:hAnsi="Cambria"/>
          <w:sz w:val="24"/>
          <w:szCs w:val="24"/>
        </w:rPr>
        <w:t xml:space="preserve">. Sustav prilagođen jedinicama lokalne i </w:t>
      </w:r>
      <w:r w:rsidR="005760C4">
        <w:rPr>
          <w:rFonts w:ascii="Cambria" w:hAnsi="Cambria"/>
          <w:sz w:val="24"/>
          <w:szCs w:val="24"/>
        </w:rPr>
        <w:t xml:space="preserve">područne </w:t>
      </w:r>
      <w:r w:rsidRPr="008C4D21">
        <w:rPr>
          <w:rFonts w:ascii="Cambria" w:hAnsi="Cambria"/>
          <w:sz w:val="24"/>
          <w:szCs w:val="24"/>
        </w:rPr>
        <w:t xml:space="preserve">(regionalne) samouprave </w:t>
      </w:r>
      <w:r w:rsidR="002F77C5">
        <w:rPr>
          <w:rFonts w:ascii="Cambria" w:hAnsi="Cambria"/>
          <w:sz w:val="24"/>
          <w:szCs w:val="24"/>
        </w:rPr>
        <w:t xml:space="preserve">u 2024. godini </w:t>
      </w:r>
      <w:r w:rsidRPr="008C4D21">
        <w:rPr>
          <w:rFonts w:ascii="Cambria" w:hAnsi="Cambria"/>
          <w:sz w:val="24"/>
          <w:szCs w:val="24"/>
        </w:rPr>
        <w:t xml:space="preserve">bit će testiran putem pilot projekata s odabranim jedinicama lokalne i </w:t>
      </w:r>
      <w:r w:rsidR="005760C4">
        <w:rPr>
          <w:rFonts w:ascii="Cambria" w:hAnsi="Cambria"/>
          <w:sz w:val="24"/>
          <w:szCs w:val="24"/>
        </w:rPr>
        <w:t>područne</w:t>
      </w:r>
      <w:r w:rsidRPr="008C4D21">
        <w:rPr>
          <w:rFonts w:ascii="Cambria" w:hAnsi="Cambria"/>
          <w:sz w:val="24"/>
          <w:szCs w:val="24"/>
        </w:rPr>
        <w:t xml:space="preserve"> (regionalne) samouprave.</w:t>
      </w:r>
      <w:r w:rsidR="00DA242B">
        <w:rPr>
          <w:rFonts w:ascii="Cambria" w:hAnsi="Cambria"/>
          <w:sz w:val="24"/>
          <w:szCs w:val="24"/>
        </w:rPr>
        <w:t xml:space="preserve"> </w:t>
      </w:r>
      <w:r>
        <w:rPr>
          <w:rFonts w:ascii="Cambria" w:hAnsi="Cambria"/>
          <w:sz w:val="24"/>
          <w:szCs w:val="24"/>
        </w:rPr>
        <w:t xml:space="preserve">Proširenje portala zahtijevat će </w:t>
      </w:r>
      <w:r w:rsidR="002F77C5">
        <w:rPr>
          <w:rFonts w:ascii="Cambria" w:hAnsi="Cambria"/>
          <w:sz w:val="24"/>
          <w:szCs w:val="24"/>
        </w:rPr>
        <w:t xml:space="preserve">dodatne resurse koje će biti potrebno osigurati za </w:t>
      </w:r>
      <w:r w:rsidRPr="008C4D21">
        <w:rPr>
          <w:rFonts w:ascii="Cambria" w:hAnsi="Cambria"/>
          <w:sz w:val="24"/>
          <w:szCs w:val="24"/>
        </w:rPr>
        <w:t>korisničk</w:t>
      </w:r>
      <w:r w:rsidR="002F77C5">
        <w:rPr>
          <w:rFonts w:ascii="Cambria" w:hAnsi="Cambria"/>
          <w:sz w:val="24"/>
          <w:szCs w:val="24"/>
        </w:rPr>
        <w:t>u</w:t>
      </w:r>
      <w:r w:rsidRPr="008C4D21">
        <w:rPr>
          <w:rFonts w:ascii="Cambria" w:hAnsi="Cambria"/>
          <w:sz w:val="24"/>
          <w:szCs w:val="24"/>
        </w:rPr>
        <w:t xml:space="preserve"> podršk</w:t>
      </w:r>
      <w:r w:rsidR="002F77C5">
        <w:rPr>
          <w:rFonts w:ascii="Cambria" w:hAnsi="Cambria"/>
          <w:sz w:val="24"/>
          <w:szCs w:val="24"/>
        </w:rPr>
        <w:t xml:space="preserve">u </w:t>
      </w:r>
      <w:r w:rsidRPr="008C4D21">
        <w:rPr>
          <w:rFonts w:ascii="Cambria" w:hAnsi="Cambria"/>
          <w:sz w:val="24"/>
          <w:szCs w:val="24"/>
        </w:rPr>
        <w:t xml:space="preserve"> </w:t>
      </w:r>
      <w:r w:rsidR="002F77C5">
        <w:rPr>
          <w:rFonts w:ascii="Cambria" w:hAnsi="Cambria"/>
          <w:sz w:val="24"/>
          <w:szCs w:val="24"/>
        </w:rPr>
        <w:t xml:space="preserve">i provedbu </w:t>
      </w:r>
      <w:r w:rsidRPr="008C4D21">
        <w:rPr>
          <w:rFonts w:ascii="Cambria" w:hAnsi="Cambria"/>
          <w:sz w:val="24"/>
          <w:szCs w:val="24"/>
        </w:rPr>
        <w:t xml:space="preserve">edukacija za </w:t>
      </w:r>
      <w:r w:rsidR="002F77C5">
        <w:rPr>
          <w:rFonts w:ascii="Cambria" w:hAnsi="Cambria"/>
          <w:sz w:val="24"/>
          <w:szCs w:val="24"/>
        </w:rPr>
        <w:t>nove korisnike</w:t>
      </w:r>
      <w:r>
        <w:rPr>
          <w:rFonts w:ascii="Cambria" w:hAnsi="Cambria"/>
          <w:sz w:val="24"/>
          <w:szCs w:val="24"/>
        </w:rPr>
        <w:t>.</w:t>
      </w:r>
    </w:p>
    <w:p w:rsidR="00DF2E41" w:rsidRDefault="00DA242B" w:rsidP="00DA242B">
      <w:pPr>
        <w:jc w:val="both"/>
        <w:rPr>
          <w:rFonts w:ascii="Cambria" w:hAnsi="Cambria"/>
          <w:sz w:val="24"/>
          <w:szCs w:val="24"/>
        </w:rPr>
      </w:pPr>
      <w:r w:rsidRPr="00DA242B">
        <w:rPr>
          <w:rFonts w:ascii="Cambria" w:hAnsi="Cambria"/>
          <w:sz w:val="24"/>
          <w:szCs w:val="24"/>
        </w:rPr>
        <w:t xml:space="preserve">U kontekstu pristupanja Republike Hrvatske </w:t>
      </w:r>
      <w:proofErr w:type="spellStart"/>
      <w:r w:rsidRPr="00DA242B">
        <w:rPr>
          <w:rFonts w:ascii="Cambria" w:hAnsi="Cambria"/>
          <w:sz w:val="24"/>
          <w:szCs w:val="24"/>
        </w:rPr>
        <w:t>OECDu</w:t>
      </w:r>
      <w:proofErr w:type="spellEnd"/>
      <w:r w:rsidRPr="00DA242B">
        <w:rPr>
          <w:rFonts w:ascii="Cambria" w:hAnsi="Cambria"/>
          <w:sz w:val="24"/>
          <w:szCs w:val="24"/>
        </w:rPr>
        <w:t xml:space="preserve">, </w:t>
      </w:r>
      <w:r w:rsidR="00DF2E41">
        <w:rPr>
          <w:rFonts w:ascii="Cambria" w:hAnsi="Cambria"/>
          <w:sz w:val="24"/>
          <w:szCs w:val="24"/>
        </w:rPr>
        <w:t>k</w:t>
      </w:r>
      <w:r w:rsidRPr="00DA242B">
        <w:rPr>
          <w:rFonts w:ascii="Cambria" w:hAnsi="Cambria"/>
          <w:sz w:val="24"/>
          <w:szCs w:val="24"/>
        </w:rPr>
        <w:t>ao matični odbor u području regulatorne politike, Odbor za regulat</w:t>
      </w:r>
      <w:r w:rsidR="00DF2E41">
        <w:rPr>
          <w:rFonts w:ascii="Cambria" w:hAnsi="Cambria"/>
          <w:sz w:val="24"/>
          <w:szCs w:val="24"/>
        </w:rPr>
        <w:t>ivn</w:t>
      </w:r>
      <w:r w:rsidRPr="00DA242B">
        <w:rPr>
          <w:rFonts w:ascii="Cambria" w:hAnsi="Cambria"/>
          <w:sz w:val="24"/>
          <w:szCs w:val="24"/>
        </w:rPr>
        <w:t>u politiku</w:t>
      </w:r>
      <w:r w:rsidR="005760C4">
        <w:rPr>
          <w:rFonts w:ascii="Cambria" w:hAnsi="Cambria"/>
          <w:sz w:val="24"/>
          <w:szCs w:val="24"/>
        </w:rPr>
        <w:t xml:space="preserve"> </w:t>
      </w:r>
      <w:proofErr w:type="spellStart"/>
      <w:r w:rsidR="005760C4">
        <w:rPr>
          <w:rFonts w:ascii="Cambria" w:hAnsi="Cambria"/>
          <w:sz w:val="24"/>
          <w:szCs w:val="24"/>
        </w:rPr>
        <w:t>OECDa</w:t>
      </w:r>
      <w:proofErr w:type="spellEnd"/>
      <w:r w:rsidRPr="00DA242B">
        <w:rPr>
          <w:rFonts w:ascii="Cambria" w:hAnsi="Cambria"/>
          <w:sz w:val="24"/>
          <w:szCs w:val="24"/>
        </w:rPr>
        <w:t xml:space="preserve"> je u proteklom razdoblju ocjenjivao Republiku Hrvatsku s ciljem procjene spremnosti i sposobnosti zemlje da provede zakonske instrumente iz nadležnosti Odbora za regulat</w:t>
      </w:r>
      <w:r w:rsidR="00DF2E41">
        <w:rPr>
          <w:rFonts w:ascii="Cambria" w:hAnsi="Cambria"/>
          <w:sz w:val="24"/>
          <w:szCs w:val="24"/>
        </w:rPr>
        <w:t>iv</w:t>
      </w:r>
      <w:r w:rsidRPr="00DA242B">
        <w:rPr>
          <w:rFonts w:ascii="Cambria" w:hAnsi="Cambria"/>
          <w:sz w:val="24"/>
          <w:szCs w:val="24"/>
        </w:rPr>
        <w:t xml:space="preserve">nu politiku, te njezine politike i prakse u usporedbi s najboljim politikama i praksama </w:t>
      </w:r>
      <w:proofErr w:type="spellStart"/>
      <w:r w:rsidRPr="00DA242B">
        <w:rPr>
          <w:rFonts w:ascii="Cambria" w:hAnsi="Cambria"/>
          <w:sz w:val="24"/>
          <w:szCs w:val="24"/>
        </w:rPr>
        <w:t>OECDa</w:t>
      </w:r>
      <w:proofErr w:type="spellEnd"/>
      <w:r w:rsidRPr="00DA242B">
        <w:rPr>
          <w:rFonts w:ascii="Cambria" w:hAnsi="Cambria"/>
          <w:sz w:val="24"/>
          <w:szCs w:val="24"/>
        </w:rPr>
        <w:t xml:space="preserve"> u regulat</w:t>
      </w:r>
      <w:r w:rsidR="00DF2E41">
        <w:rPr>
          <w:rFonts w:ascii="Cambria" w:hAnsi="Cambria"/>
          <w:sz w:val="24"/>
          <w:szCs w:val="24"/>
        </w:rPr>
        <w:t>iv</w:t>
      </w:r>
      <w:r w:rsidRPr="00DA242B">
        <w:rPr>
          <w:rFonts w:ascii="Cambria" w:hAnsi="Cambria"/>
          <w:sz w:val="24"/>
          <w:szCs w:val="24"/>
        </w:rPr>
        <w:t xml:space="preserve">noj politici. </w:t>
      </w:r>
      <w:r w:rsidRPr="00DA242B">
        <w:rPr>
          <w:rFonts w:ascii="Cambria" w:hAnsi="Cambria"/>
          <w:sz w:val="24"/>
          <w:szCs w:val="24"/>
        </w:rPr>
        <w:lastRenderedPageBreak/>
        <w:t xml:space="preserve">Rasprava je potkrijepljena izvješćem koje je pripremilo Tajništvo </w:t>
      </w:r>
      <w:proofErr w:type="spellStart"/>
      <w:r w:rsidR="005760C4">
        <w:rPr>
          <w:rFonts w:ascii="Cambria" w:hAnsi="Cambria"/>
          <w:sz w:val="24"/>
          <w:szCs w:val="24"/>
        </w:rPr>
        <w:t>OECDa</w:t>
      </w:r>
      <w:proofErr w:type="spellEnd"/>
      <w:r w:rsidRPr="00DA242B">
        <w:rPr>
          <w:rFonts w:ascii="Cambria" w:hAnsi="Cambria"/>
          <w:sz w:val="24"/>
          <w:szCs w:val="24"/>
        </w:rPr>
        <w:t xml:space="preserve"> o kojem se raspravljalo na sastanku Odbora u studenom 2023. godine</w:t>
      </w:r>
      <w:r w:rsidR="00DF2E41">
        <w:rPr>
          <w:rFonts w:ascii="Cambria" w:hAnsi="Cambria"/>
          <w:sz w:val="24"/>
          <w:szCs w:val="24"/>
        </w:rPr>
        <w:t xml:space="preserve">. Pismom </w:t>
      </w:r>
      <w:r w:rsidR="00DF2E41" w:rsidRPr="00DA242B">
        <w:rPr>
          <w:rFonts w:ascii="Cambria" w:hAnsi="Cambria"/>
          <w:sz w:val="24"/>
          <w:szCs w:val="24"/>
        </w:rPr>
        <w:t>predsjednika Odbora</w:t>
      </w:r>
      <w:r w:rsidR="00DF2E41">
        <w:rPr>
          <w:rFonts w:ascii="Cambria" w:hAnsi="Cambria"/>
          <w:sz w:val="24"/>
          <w:szCs w:val="24"/>
        </w:rPr>
        <w:t xml:space="preserve"> iz veljače 2024. godine, potvrđeno je da je </w:t>
      </w:r>
      <w:r w:rsidRPr="00DA242B">
        <w:rPr>
          <w:rFonts w:ascii="Cambria" w:hAnsi="Cambria"/>
          <w:sz w:val="24"/>
          <w:szCs w:val="24"/>
        </w:rPr>
        <w:t>Odbor za regulat</w:t>
      </w:r>
      <w:r w:rsidR="00DF2E41">
        <w:rPr>
          <w:rFonts w:ascii="Cambria" w:hAnsi="Cambria"/>
          <w:sz w:val="24"/>
          <w:szCs w:val="24"/>
        </w:rPr>
        <w:t>iv</w:t>
      </w:r>
      <w:r w:rsidRPr="00DA242B">
        <w:rPr>
          <w:rFonts w:ascii="Cambria" w:hAnsi="Cambria"/>
          <w:sz w:val="24"/>
          <w:szCs w:val="24"/>
        </w:rPr>
        <w:t>nu politiku odlučio zaključiti svoj pristupni pregled Republike Hrvatske odnosno Republici Hrvatskoj je dano „zeleno svjetlo“ vezano uz pristupni proces.</w:t>
      </w:r>
    </w:p>
    <w:p w:rsidR="00DF2E41" w:rsidRDefault="00DA242B" w:rsidP="00DF2E41">
      <w:pPr>
        <w:jc w:val="both"/>
        <w:rPr>
          <w:rFonts w:ascii="Cambria" w:hAnsi="Cambria"/>
          <w:sz w:val="24"/>
          <w:szCs w:val="24"/>
        </w:rPr>
      </w:pPr>
      <w:r w:rsidRPr="00DA242B">
        <w:rPr>
          <w:rFonts w:ascii="Cambria" w:hAnsi="Cambria"/>
          <w:sz w:val="24"/>
          <w:szCs w:val="24"/>
        </w:rPr>
        <w:t xml:space="preserve">Istovremeno, Odbor je identificirao pojedina područja na kojima </w:t>
      </w:r>
      <w:r w:rsidR="002F77C5">
        <w:rPr>
          <w:rFonts w:ascii="Cambria" w:hAnsi="Cambria"/>
          <w:sz w:val="24"/>
          <w:szCs w:val="24"/>
        </w:rPr>
        <w:t>Republika Hrvatska</w:t>
      </w:r>
      <w:r w:rsidRPr="00DA242B">
        <w:rPr>
          <w:rFonts w:ascii="Cambria" w:hAnsi="Cambria"/>
          <w:sz w:val="24"/>
          <w:szCs w:val="24"/>
        </w:rPr>
        <w:t xml:space="preserve"> treba provesti  dugoročne preporuke kako bi se dalje uskladila s </w:t>
      </w:r>
      <w:proofErr w:type="spellStart"/>
      <w:r w:rsidRPr="00DA242B">
        <w:rPr>
          <w:rFonts w:ascii="Cambria" w:hAnsi="Cambria"/>
          <w:sz w:val="24"/>
          <w:szCs w:val="24"/>
        </w:rPr>
        <w:t>OECDovim</w:t>
      </w:r>
      <w:proofErr w:type="spellEnd"/>
      <w:r w:rsidRPr="00DA242B">
        <w:rPr>
          <w:rFonts w:ascii="Cambria" w:hAnsi="Cambria"/>
          <w:sz w:val="24"/>
          <w:szCs w:val="24"/>
        </w:rPr>
        <w:t xml:space="preserve"> standardima i najboljim praksama.</w:t>
      </w:r>
      <w:r>
        <w:rPr>
          <w:rFonts w:ascii="Cambria" w:hAnsi="Cambria"/>
          <w:sz w:val="24"/>
          <w:szCs w:val="24"/>
        </w:rPr>
        <w:t xml:space="preserve"> </w:t>
      </w:r>
      <w:r w:rsidR="00DF2E41">
        <w:rPr>
          <w:rFonts w:ascii="Cambria" w:hAnsi="Cambria"/>
          <w:sz w:val="24"/>
          <w:szCs w:val="24"/>
        </w:rPr>
        <w:t>U</w:t>
      </w:r>
      <w:r w:rsidRPr="00DA242B">
        <w:rPr>
          <w:rFonts w:ascii="Cambria" w:hAnsi="Cambria"/>
          <w:sz w:val="24"/>
          <w:szCs w:val="24"/>
        </w:rPr>
        <w:t xml:space="preserve"> odnosu na provođenje savjetovanja s javnošću za prijedloge zakona i druge propise, kao jednog od instrumenata politike boljih propisa, Hrvatska se nalazi na samom vrhu ljestvice, iznad prosjeka država članica EU i </w:t>
      </w:r>
      <w:proofErr w:type="spellStart"/>
      <w:r w:rsidRPr="00DA242B">
        <w:rPr>
          <w:rFonts w:ascii="Cambria" w:hAnsi="Cambria"/>
          <w:sz w:val="24"/>
          <w:szCs w:val="24"/>
        </w:rPr>
        <w:t>OECDa</w:t>
      </w:r>
      <w:proofErr w:type="spellEnd"/>
      <w:r w:rsidRPr="00DA242B">
        <w:rPr>
          <w:rFonts w:ascii="Cambria" w:hAnsi="Cambria"/>
          <w:sz w:val="24"/>
          <w:szCs w:val="24"/>
        </w:rPr>
        <w:t xml:space="preserve"> prema pokazatelju provođenja savjetovanja s javnošću. </w:t>
      </w:r>
      <w:r w:rsidR="00DF2E41">
        <w:rPr>
          <w:rFonts w:ascii="Cambria" w:hAnsi="Cambria"/>
          <w:sz w:val="24"/>
          <w:szCs w:val="24"/>
        </w:rPr>
        <w:t>U dugoročnom razdoblju, očekuje se da Republika Hrvatska uloži dodatne napore u sustavnu provedbu savjetovanja</w:t>
      </w:r>
      <w:r w:rsidR="00DF2E41" w:rsidRPr="00DF2E41">
        <w:rPr>
          <w:rFonts w:ascii="Cambria" w:hAnsi="Cambria"/>
          <w:sz w:val="24"/>
          <w:szCs w:val="24"/>
        </w:rPr>
        <w:t xml:space="preserve"> u ranim fazama</w:t>
      </w:r>
      <w:r w:rsidR="00DF2E41">
        <w:rPr>
          <w:rFonts w:ascii="Cambria" w:hAnsi="Cambria"/>
          <w:sz w:val="24"/>
          <w:szCs w:val="24"/>
        </w:rPr>
        <w:t xml:space="preserve"> razvoja</w:t>
      </w:r>
      <w:r w:rsidR="00DF2E41" w:rsidRPr="00DF2E41">
        <w:rPr>
          <w:rFonts w:ascii="Cambria" w:hAnsi="Cambria"/>
          <w:sz w:val="24"/>
          <w:szCs w:val="24"/>
        </w:rPr>
        <w:t xml:space="preserve"> ciklusa politike</w:t>
      </w:r>
      <w:r w:rsidR="00DF2E41">
        <w:rPr>
          <w:rFonts w:ascii="Cambria" w:hAnsi="Cambria"/>
          <w:sz w:val="24"/>
          <w:szCs w:val="24"/>
        </w:rPr>
        <w:t xml:space="preserve"> kao i </w:t>
      </w:r>
      <w:r w:rsidR="00DF2E41" w:rsidRPr="00DF2E41">
        <w:rPr>
          <w:rFonts w:ascii="Cambria" w:hAnsi="Cambria"/>
          <w:sz w:val="24"/>
          <w:szCs w:val="24"/>
        </w:rPr>
        <w:t>sustavniji angažman šireg kruga dionika</w:t>
      </w:r>
      <w:r w:rsidR="00DF2E41">
        <w:rPr>
          <w:rFonts w:ascii="Cambria" w:hAnsi="Cambria"/>
          <w:sz w:val="24"/>
          <w:szCs w:val="24"/>
        </w:rPr>
        <w:t>, što</w:t>
      </w:r>
      <w:r w:rsidR="00DF2E41" w:rsidRPr="00DF2E41">
        <w:rPr>
          <w:rFonts w:ascii="Cambria" w:hAnsi="Cambria"/>
          <w:sz w:val="24"/>
          <w:szCs w:val="24"/>
        </w:rPr>
        <w:t xml:space="preserve"> uključuje korištenje više ciljanih </w:t>
      </w:r>
      <w:r w:rsidR="00DF2E41">
        <w:rPr>
          <w:rFonts w:ascii="Cambria" w:hAnsi="Cambria"/>
          <w:sz w:val="24"/>
          <w:szCs w:val="24"/>
        </w:rPr>
        <w:t>metoda provedbe savjetovanja.</w:t>
      </w:r>
    </w:p>
    <w:p w:rsidR="00847780" w:rsidRDefault="00DA242B" w:rsidP="00DF2E41">
      <w:pPr>
        <w:jc w:val="both"/>
        <w:rPr>
          <w:rFonts w:ascii="Cambria" w:hAnsi="Cambria"/>
          <w:sz w:val="24"/>
          <w:szCs w:val="24"/>
        </w:rPr>
        <w:sectPr w:rsidR="00847780" w:rsidSect="001A1509">
          <w:headerReference w:type="default" r:id="rId19"/>
          <w:footerReference w:type="default" r:id="rId20"/>
          <w:headerReference w:type="first" r:id="rId21"/>
          <w:pgSz w:w="12240" w:h="15840" w:code="1"/>
          <w:pgMar w:top="1440" w:right="1440" w:bottom="1440" w:left="1440" w:header="720" w:footer="720" w:gutter="0"/>
          <w:cols w:space="720"/>
          <w:titlePg/>
          <w:docGrid w:linePitch="360"/>
        </w:sectPr>
      </w:pPr>
      <w:r w:rsidRPr="00DA242B">
        <w:rPr>
          <w:rFonts w:ascii="Cambria" w:hAnsi="Cambria"/>
          <w:sz w:val="24"/>
          <w:szCs w:val="24"/>
        </w:rPr>
        <w:tab/>
      </w:r>
    </w:p>
    <w:p w:rsidR="00AF5667" w:rsidRDefault="00AF5667" w:rsidP="00AF5667">
      <w:pPr>
        <w:pStyle w:val="Heading2"/>
      </w:pPr>
    </w:p>
    <w:p w:rsidR="00AF5667" w:rsidRPr="00F25D43" w:rsidRDefault="00AF5667" w:rsidP="00AF5667">
      <w:pPr>
        <w:pStyle w:val="Heading2"/>
      </w:pPr>
      <w:bookmarkStart w:id="19" w:name="_Toc176169397"/>
      <w:r w:rsidRPr="00421198">
        <w:t xml:space="preserve">Prilog 1.: Pregled provedenih savjetovanja o nacrtima zakona, drugih propisa i akata prema </w:t>
      </w:r>
      <w:r w:rsidR="00DD6FEF">
        <w:t xml:space="preserve">tijelima državne uprave, </w:t>
      </w:r>
      <w:r w:rsidRPr="00421198">
        <w:t>državnim tijelima</w:t>
      </w:r>
      <w:r w:rsidR="00F418A6" w:rsidRPr="00421198">
        <w:t xml:space="preserve"> i drugim pravnim osobama s javnim ovlastima koj</w:t>
      </w:r>
      <w:r w:rsidR="00280186">
        <w:t>a su u 2023.</w:t>
      </w:r>
      <w:r w:rsidR="00F418A6" w:rsidRPr="00421198">
        <w:t xml:space="preserve"> provod</w:t>
      </w:r>
      <w:r w:rsidR="00280186">
        <w:t>ila</w:t>
      </w:r>
      <w:r w:rsidR="00F418A6" w:rsidRPr="00421198">
        <w:t xml:space="preserve"> svoja savjetovanja putem portala e-Savjetovanja</w:t>
      </w:r>
      <w:bookmarkEnd w:id="19"/>
      <w:r w:rsidR="00421198">
        <w:t xml:space="preserve"> </w:t>
      </w:r>
    </w:p>
    <w:p w:rsidR="00AF5667" w:rsidRDefault="00AF5667" w:rsidP="00AF5667">
      <w:pPr>
        <w:rPr>
          <w:rFonts w:ascii="Cambria" w:hAnsi="Cambria"/>
          <w:sz w:val="24"/>
          <w:szCs w:val="24"/>
        </w:rPr>
      </w:pPr>
    </w:p>
    <w:tbl>
      <w:tblPr>
        <w:tblStyle w:val="GridTable6Colorful-Accent1"/>
        <w:tblW w:w="14029" w:type="dxa"/>
        <w:tblLook w:val="04A0" w:firstRow="1" w:lastRow="0" w:firstColumn="1" w:lastColumn="0" w:noHBand="0" w:noVBand="1"/>
      </w:tblPr>
      <w:tblGrid>
        <w:gridCol w:w="741"/>
        <w:gridCol w:w="5775"/>
        <w:gridCol w:w="2410"/>
        <w:gridCol w:w="2693"/>
        <w:gridCol w:w="2410"/>
      </w:tblGrid>
      <w:tr w:rsidR="00AF5667" w:rsidRPr="00FD137E" w:rsidTr="008E6F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hideMark/>
          </w:tcPr>
          <w:p w:rsidR="00AF5667" w:rsidRPr="004A6B47" w:rsidRDefault="00AF5667" w:rsidP="008E6FE6">
            <w:pPr>
              <w:jc w:val="center"/>
              <w:rPr>
                <w:rFonts w:eastAsia="Times New Roman" w:cs="Times New Roman"/>
                <w:color w:val="000000"/>
                <w:lang w:eastAsia="hr-HR"/>
              </w:rPr>
            </w:pPr>
            <w:r w:rsidRPr="004A6B47">
              <w:rPr>
                <w:rFonts w:eastAsia="Times New Roman" w:cs="Times New Roman"/>
                <w:color w:val="000000"/>
                <w:lang w:eastAsia="hr-HR"/>
              </w:rPr>
              <w:t>Redni broj</w:t>
            </w:r>
          </w:p>
        </w:tc>
        <w:tc>
          <w:tcPr>
            <w:tcW w:w="5775" w:type="dxa"/>
            <w:vAlign w:val="center"/>
            <w:hideMark/>
          </w:tcPr>
          <w:p w:rsidR="00AF5667" w:rsidRPr="00FD137E" w:rsidRDefault="00AF5667" w:rsidP="008E6FE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hr-HR"/>
              </w:rPr>
            </w:pPr>
            <w:r w:rsidRPr="00FD137E">
              <w:rPr>
                <w:rFonts w:eastAsia="Times New Roman" w:cs="Times New Roman"/>
                <w:color w:val="000000"/>
                <w:lang w:eastAsia="hr-HR"/>
              </w:rPr>
              <w:t>Naziv tijela</w:t>
            </w:r>
            <w:r w:rsidRPr="00FD137E">
              <w:rPr>
                <w:rFonts w:eastAsia="Times New Roman" w:cs="Times New Roman"/>
                <w:color w:val="000000"/>
                <w:sz w:val="16"/>
                <w:szCs w:val="16"/>
                <w:lang w:eastAsia="hr-HR"/>
              </w:rPr>
              <w:t> </w:t>
            </w:r>
          </w:p>
        </w:tc>
        <w:tc>
          <w:tcPr>
            <w:tcW w:w="2410" w:type="dxa"/>
            <w:vAlign w:val="center"/>
            <w:hideMark/>
          </w:tcPr>
          <w:p w:rsidR="00AF5667" w:rsidRPr="00FD137E" w:rsidRDefault="00AF5667" w:rsidP="008E6FE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hr-HR"/>
              </w:rPr>
            </w:pPr>
            <w:r w:rsidRPr="00FD137E">
              <w:rPr>
                <w:rFonts w:eastAsia="Times New Roman" w:cs="Times New Roman"/>
                <w:color w:val="000000"/>
                <w:lang w:eastAsia="hr-HR"/>
              </w:rPr>
              <w:t xml:space="preserve">Broj provedenih savjetovanja </w:t>
            </w:r>
          </w:p>
        </w:tc>
        <w:tc>
          <w:tcPr>
            <w:tcW w:w="2693" w:type="dxa"/>
            <w:vAlign w:val="center"/>
            <w:hideMark/>
          </w:tcPr>
          <w:p w:rsidR="00AF5667" w:rsidRPr="00FD137E" w:rsidRDefault="00AF5667" w:rsidP="00566EB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hr-HR"/>
              </w:rPr>
            </w:pPr>
            <w:r w:rsidRPr="00FD137E">
              <w:rPr>
                <w:rFonts w:eastAsia="Times New Roman" w:cs="Times New Roman"/>
                <w:color w:val="000000"/>
                <w:lang w:eastAsia="hr-HR"/>
              </w:rPr>
              <w:t xml:space="preserve">Broj </w:t>
            </w:r>
            <w:r w:rsidR="00566EB1">
              <w:rPr>
                <w:rFonts w:eastAsia="Times New Roman" w:cs="Times New Roman"/>
                <w:color w:val="000000"/>
                <w:lang w:eastAsia="hr-HR"/>
              </w:rPr>
              <w:t>osoba koje su komentirale</w:t>
            </w:r>
            <w:r w:rsidR="002334C2">
              <w:rPr>
                <w:rStyle w:val="FootnoteReference"/>
                <w:rFonts w:eastAsia="Times New Roman" w:cs="Times New Roman"/>
                <w:color w:val="000000"/>
                <w:lang w:eastAsia="hr-HR"/>
              </w:rPr>
              <w:footnoteReference w:id="6"/>
            </w:r>
          </w:p>
        </w:tc>
        <w:tc>
          <w:tcPr>
            <w:tcW w:w="2410" w:type="dxa"/>
            <w:vAlign w:val="center"/>
            <w:hideMark/>
          </w:tcPr>
          <w:p w:rsidR="00AF5667" w:rsidRPr="00FD137E" w:rsidRDefault="00AF5667" w:rsidP="008E6FE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eastAsia="hr-HR"/>
              </w:rPr>
            </w:pPr>
            <w:r w:rsidRPr="00FD137E">
              <w:rPr>
                <w:rFonts w:eastAsia="Times New Roman" w:cs="Times New Roman"/>
                <w:color w:val="000000"/>
                <w:lang w:eastAsia="hr-HR"/>
              </w:rPr>
              <w:t>Broj primljenih komentara</w:t>
            </w:r>
          </w:p>
        </w:tc>
      </w:tr>
      <w:tr w:rsidR="00AF5667" w:rsidRPr="00FD137E" w:rsidTr="00F418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hideMark/>
          </w:tcPr>
          <w:p w:rsidR="00AF5667" w:rsidRPr="00591965" w:rsidRDefault="00AF5667" w:rsidP="008E6FE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Ministarstvo poljoprivrede</w:t>
            </w:r>
          </w:p>
        </w:tc>
        <w:tc>
          <w:tcPr>
            <w:tcW w:w="2410" w:type="dxa"/>
            <w:noWrap/>
            <w:vAlign w:val="center"/>
          </w:tcPr>
          <w:p w:rsidR="00AF5667" w:rsidRPr="00591965" w:rsidRDefault="00421198" w:rsidP="00F418A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182</w:t>
            </w:r>
          </w:p>
        </w:tc>
        <w:tc>
          <w:tcPr>
            <w:tcW w:w="2693" w:type="dxa"/>
            <w:noWrap/>
            <w:vAlign w:val="center"/>
          </w:tcPr>
          <w:p w:rsidR="00AF5667" w:rsidRPr="00591965" w:rsidRDefault="00421198"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52</w:t>
            </w:r>
            <w:r w:rsidR="00E65396">
              <w:rPr>
                <w:rFonts w:eastAsia="Times New Roman" w:cs="Times New Roman"/>
                <w:bCs/>
                <w:color w:val="auto"/>
                <w:lang w:eastAsia="hr-HR"/>
              </w:rPr>
              <w:t>3</w:t>
            </w:r>
          </w:p>
        </w:tc>
        <w:tc>
          <w:tcPr>
            <w:tcW w:w="2410" w:type="dxa"/>
            <w:noWrap/>
            <w:vAlign w:val="center"/>
          </w:tcPr>
          <w:p w:rsidR="00AF5667" w:rsidRPr="00591965" w:rsidRDefault="00421198"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15</w:t>
            </w:r>
            <w:r w:rsidR="00E65396">
              <w:rPr>
                <w:rFonts w:eastAsia="Times New Roman" w:cs="Times New Roman"/>
                <w:bCs/>
                <w:color w:val="auto"/>
                <w:lang w:eastAsia="hr-HR"/>
              </w:rPr>
              <w:t>30</w:t>
            </w:r>
          </w:p>
        </w:tc>
      </w:tr>
      <w:tr w:rsidR="00AF566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F418A6" w:rsidP="00D2401A">
            <w:pPr>
              <w:contextualSpacing/>
              <w:cnfStyle w:val="000000000000" w:firstRow="0" w:lastRow="0" w:firstColumn="0" w:lastColumn="0" w:oddVBand="0" w:evenVBand="0" w:oddHBand="0" w:evenHBand="0" w:firstRowFirstColumn="0" w:firstRowLastColumn="0" w:lastRowFirstColumn="0" w:lastRowLastColumn="0"/>
              <w:rPr>
                <w:color w:val="auto"/>
              </w:rPr>
            </w:pPr>
            <w:r>
              <w:rPr>
                <w:color w:val="auto"/>
              </w:rPr>
              <w:t>Hrvatska agencija za nadzor financijskih usluga</w:t>
            </w:r>
          </w:p>
        </w:tc>
        <w:tc>
          <w:tcPr>
            <w:tcW w:w="2410" w:type="dxa"/>
            <w:noWrap/>
            <w:vAlign w:val="center"/>
          </w:tcPr>
          <w:p w:rsidR="00AF5667" w:rsidRPr="00591965" w:rsidRDefault="00421198"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32</w:t>
            </w:r>
          </w:p>
        </w:tc>
        <w:tc>
          <w:tcPr>
            <w:tcW w:w="2693" w:type="dxa"/>
            <w:noWrap/>
            <w:vAlign w:val="center"/>
          </w:tcPr>
          <w:p w:rsidR="00AF5667" w:rsidRPr="00591965" w:rsidRDefault="00421198"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10</w:t>
            </w:r>
          </w:p>
        </w:tc>
        <w:tc>
          <w:tcPr>
            <w:tcW w:w="2410" w:type="dxa"/>
            <w:noWrap/>
            <w:vAlign w:val="center"/>
          </w:tcPr>
          <w:p w:rsidR="00AF5667" w:rsidRPr="00591965" w:rsidRDefault="00E6539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63</w:t>
            </w:r>
          </w:p>
        </w:tc>
      </w:tr>
      <w:tr w:rsidR="00AF5667" w:rsidRPr="00FD137E" w:rsidTr="00F418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hideMark/>
          </w:tcPr>
          <w:p w:rsidR="00AF5667" w:rsidRPr="00591965" w:rsidRDefault="00D2401A" w:rsidP="00F418A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 xml:space="preserve">Ministarstvo </w:t>
            </w:r>
            <w:r w:rsidR="00F418A6">
              <w:rPr>
                <w:color w:val="auto"/>
              </w:rPr>
              <w:t>pravosuđa i uprave</w:t>
            </w:r>
          </w:p>
        </w:tc>
        <w:tc>
          <w:tcPr>
            <w:tcW w:w="2410" w:type="dxa"/>
            <w:noWrap/>
            <w:vAlign w:val="center"/>
          </w:tcPr>
          <w:p w:rsidR="00AF5667" w:rsidRPr="00591965" w:rsidRDefault="00280186" w:rsidP="008E6FE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67</w:t>
            </w:r>
          </w:p>
        </w:tc>
        <w:tc>
          <w:tcPr>
            <w:tcW w:w="2693"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477</w:t>
            </w:r>
          </w:p>
        </w:tc>
        <w:tc>
          <w:tcPr>
            <w:tcW w:w="2410"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180</w:t>
            </w:r>
            <w:r w:rsidR="00E65396">
              <w:rPr>
                <w:rFonts w:eastAsia="Times New Roman" w:cs="Times New Roman"/>
                <w:bCs/>
                <w:color w:val="auto"/>
                <w:lang w:eastAsia="hr-HR"/>
              </w:rPr>
              <w:t>3</w:t>
            </w:r>
          </w:p>
        </w:tc>
      </w:tr>
      <w:tr w:rsidR="00AF566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F418A6">
            <w:pPr>
              <w:contextualSpacing/>
              <w:cnfStyle w:val="000000000000" w:firstRow="0" w:lastRow="0" w:firstColumn="0" w:lastColumn="0" w:oddVBand="0" w:evenVBand="0" w:oddHBand="0" w:evenHBand="0" w:firstRowFirstColumn="0" w:firstRowLastColumn="0" w:lastRowFirstColumn="0" w:lastRowLastColumn="0"/>
              <w:rPr>
                <w:color w:val="auto"/>
              </w:rPr>
            </w:pPr>
            <w:r w:rsidRPr="00591965">
              <w:rPr>
                <w:color w:val="auto"/>
              </w:rPr>
              <w:t xml:space="preserve">Ministarstvo </w:t>
            </w:r>
            <w:r w:rsidR="00F418A6">
              <w:rPr>
                <w:color w:val="auto"/>
              </w:rPr>
              <w:t>unutarnjih poslova</w:t>
            </w:r>
          </w:p>
        </w:tc>
        <w:tc>
          <w:tcPr>
            <w:tcW w:w="2410" w:type="dxa"/>
            <w:noWrap/>
            <w:vAlign w:val="center"/>
          </w:tcPr>
          <w:p w:rsidR="00AF5667" w:rsidRPr="00591965" w:rsidRDefault="00280186"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21</w:t>
            </w:r>
          </w:p>
        </w:tc>
        <w:tc>
          <w:tcPr>
            <w:tcW w:w="2693"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101</w:t>
            </w:r>
          </w:p>
        </w:tc>
        <w:tc>
          <w:tcPr>
            <w:tcW w:w="2410"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330</w:t>
            </w:r>
          </w:p>
        </w:tc>
      </w:tr>
      <w:tr w:rsidR="00AF566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F418A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 xml:space="preserve">Ministarstvo </w:t>
            </w:r>
            <w:r w:rsidR="00F418A6">
              <w:rPr>
                <w:color w:val="auto"/>
              </w:rPr>
              <w:t>financija</w:t>
            </w:r>
          </w:p>
        </w:tc>
        <w:tc>
          <w:tcPr>
            <w:tcW w:w="2410" w:type="dxa"/>
            <w:noWrap/>
            <w:vAlign w:val="center"/>
          </w:tcPr>
          <w:p w:rsidR="00AF5667" w:rsidRPr="00591965" w:rsidRDefault="00280186" w:rsidP="008E6FE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92</w:t>
            </w:r>
          </w:p>
        </w:tc>
        <w:tc>
          <w:tcPr>
            <w:tcW w:w="2693" w:type="dxa"/>
            <w:noWrap/>
            <w:vAlign w:val="center"/>
          </w:tcPr>
          <w:p w:rsidR="00AF5667" w:rsidRPr="00591965" w:rsidRDefault="00E6539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449</w:t>
            </w:r>
          </w:p>
        </w:tc>
        <w:tc>
          <w:tcPr>
            <w:tcW w:w="2410"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123</w:t>
            </w:r>
            <w:r w:rsidR="00E65396">
              <w:rPr>
                <w:rFonts w:eastAsia="Times New Roman" w:cs="Times New Roman"/>
                <w:bCs/>
                <w:color w:val="auto"/>
                <w:lang w:eastAsia="hr-HR"/>
              </w:rPr>
              <w:t>2</w:t>
            </w:r>
          </w:p>
        </w:tc>
      </w:tr>
      <w:tr w:rsidR="00AF5667" w:rsidRPr="00FD137E" w:rsidTr="00F418A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hideMark/>
          </w:tcPr>
          <w:p w:rsidR="00AF5667" w:rsidRPr="00591965" w:rsidRDefault="00AF5667" w:rsidP="00F418A6">
            <w:pPr>
              <w:contextualSpacing/>
              <w:cnfStyle w:val="000000000000" w:firstRow="0" w:lastRow="0" w:firstColumn="0" w:lastColumn="0" w:oddVBand="0" w:evenVBand="0" w:oddHBand="0" w:evenHBand="0" w:firstRowFirstColumn="0" w:firstRowLastColumn="0" w:lastRowFirstColumn="0" w:lastRowLastColumn="0"/>
              <w:rPr>
                <w:color w:val="auto"/>
              </w:rPr>
            </w:pPr>
            <w:r w:rsidRPr="00591965">
              <w:rPr>
                <w:color w:val="auto"/>
              </w:rPr>
              <w:t xml:space="preserve">Ministarstvo </w:t>
            </w:r>
            <w:r w:rsidR="00F418A6">
              <w:rPr>
                <w:color w:val="auto"/>
              </w:rPr>
              <w:t>rada, mirovinskoga sustava, obitelji i socijalne politike</w:t>
            </w:r>
          </w:p>
        </w:tc>
        <w:tc>
          <w:tcPr>
            <w:tcW w:w="2410" w:type="dxa"/>
            <w:noWrap/>
            <w:vAlign w:val="center"/>
          </w:tcPr>
          <w:p w:rsidR="00AF5667" w:rsidRPr="00591965" w:rsidRDefault="00280186"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62</w:t>
            </w:r>
          </w:p>
        </w:tc>
        <w:tc>
          <w:tcPr>
            <w:tcW w:w="2693"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285</w:t>
            </w:r>
          </w:p>
        </w:tc>
        <w:tc>
          <w:tcPr>
            <w:tcW w:w="2410"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1168</w:t>
            </w:r>
          </w:p>
        </w:tc>
      </w:tr>
      <w:tr w:rsidR="00AF566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F418A6">
            <w:pPr>
              <w:contextualSpacing/>
              <w:cnfStyle w:val="000000100000" w:firstRow="0" w:lastRow="0" w:firstColumn="0" w:lastColumn="0" w:oddVBand="0" w:evenVBand="0" w:oddHBand="1" w:evenHBand="0" w:firstRowFirstColumn="0" w:firstRowLastColumn="0" w:lastRowFirstColumn="0" w:lastRowLastColumn="0"/>
              <w:rPr>
                <w:color w:val="auto"/>
                <w:highlight w:val="yellow"/>
              </w:rPr>
            </w:pPr>
            <w:r w:rsidRPr="00591965">
              <w:rPr>
                <w:color w:val="auto"/>
              </w:rPr>
              <w:t xml:space="preserve">Ministarstvo </w:t>
            </w:r>
            <w:r w:rsidR="00F418A6">
              <w:rPr>
                <w:color w:val="auto"/>
              </w:rPr>
              <w:t>gospodarstva i održivog razvoja</w:t>
            </w:r>
          </w:p>
        </w:tc>
        <w:tc>
          <w:tcPr>
            <w:tcW w:w="2410" w:type="dxa"/>
            <w:noWrap/>
            <w:vAlign w:val="center"/>
          </w:tcPr>
          <w:p w:rsidR="00AF5667" w:rsidRPr="00591965" w:rsidRDefault="00280186" w:rsidP="00D9419F">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43</w:t>
            </w:r>
          </w:p>
        </w:tc>
        <w:tc>
          <w:tcPr>
            <w:tcW w:w="2693"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237</w:t>
            </w:r>
          </w:p>
        </w:tc>
        <w:tc>
          <w:tcPr>
            <w:tcW w:w="2410"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900</w:t>
            </w:r>
          </w:p>
        </w:tc>
      </w:tr>
      <w:tr w:rsidR="00AF5667" w:rsidRPr="00FD137E" w:rsidTr="00F418A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hideMark/>
          </w:tcPr>
          <w:p w:rsidR="00AF5667" w:rsidRPr="00591965" w:rsidRDefault="00AF5667" w:rsidP="00F418A6">
            <w:pPr>
              <w:contextualSpacing/>
              <w:cnfStyle w:val="000000000000" w:firstRow="0" w:lastRow="0" w:firstColumn="0" w:lastColumn="0" w:oddVBand="0" w:evenVBand="0" w:oddHBand="0" w:evenHBand="0" w:firstRowFirstColumn="0" w:firstRowLastColumn="0" w:lastRowFirstColumn="0" w:lastRowLastColumn="0"/>
              <w:rPr>
                <w:color w:val="auto"/>
              </w:rPr>
            </w:pPr>
            <w:r w:rsidRPr="00591965">
              <w:rPr>
                <w:color w:val="auto"/>
              </w:rPr>
              <w:t xml:space="preserve">Ministarstvo </w:t>
            </w:r>
            <w:r w:rsidR="00F418A6">
              <w:rPr>
                <w:color w:val="auto"/>
              </w:rPr>
              <w:t>znanosti i obrazovanja</w:t>
            </w:r>
          </w:p>
        </w:tc>
        <w:tc>
          <w:tcPr>
            <w:tcW w:w="2410" w:type="dxa"/>
            <w:noWrap/>
            <w:vAlign w:val="center"/>
          </w:tcPr>
          <w:p w:rsidR="00AF5667" w:rsidRPr="00591965" w:rsidRDefault="00280186" w:rsidP="00D9419F">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67</w:t>
            </w:r>
          </w:p>
        </w:tc>
        <w:tc>
          <w:tcPr>
            <w:tcW w:w="2693"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38</w:t>
            </w:r>
            <w:r w:rsidR="00E65396">
              <w:rPr>
                <w:rFonts w:eastAsia="Times New Roman" w:cs="Times New Roman"/>
                <w:bCs/>
                <w:color w:val="auto"/>
                <w:lang w:eastAsia="hr-HR"/>
              </w:rPr>
              <w:t>44</w:t>
            </w:r>
          </w:p>
        </w:tc>
        <w:tc>
          <w:tcPr>
            <w:tcW w:w="2410"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84</w:t>
            </w:r>
            <w:r w:rsidR="00E65396">
              <w:rPr>
                <w:rFonts w:eastAsia="Times New Roman" w:cs="Times New Roman"/>
                <w:bCs/>
                <w:color w:val="auto"/>
                <w:lang w:eastAsia="hr-HR"/>
              </w:rPr>
              <w:t>43</w:t>
            </w:r>
          </w:p>
        </w:tc>
      </w:tr>
      <w:tr w:rsidR="00AF566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8E6FE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Ministarstvo mora, prometa i infrastrukture</w:t>
            </w:r>
          </w:p>
        </w:tc>
        <w:tc>
          <w:tcPr>
            <w:tcW w:w="2410" w:type="dxa"/>
            <w:noWrap/>
            <w:vAlign w:val="center"/>
          </w:tcPr>
          <w:p w:rsidR="00AF5667" w:rsidRPr="00591965" w:rsidRDefault="00280186" w:rsidP="008E6FE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42</w:t>
            </w:r>
          </w:p>
        </w:tc>
        <w:tc>
          <w:tcPr>
            <w:tcW w:w="2693"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13</w:t>
            </w:r>
            <w:r w:rsidR="00E65396">
              <w:rPr>
                <w:rFonts w:eastAsia="Times New Roman" w:cs="Times New Roman"/>
                <w:bCs/>
                <w:color w:val="auto"/>
                <w:lang w:eastAsia="hr-HR"/>
              </w:rPr>
              <w:t>4</w:t>
            </w:r>
          </w:p>
        </w:tc>
        <w:tc>
          <w:tcPr>
            <w:tcW w:w="2410" w:type="dxa"/>
            <w:noWrap/>
            <w:vAlign w:val="center"/>
          </w:tcPr>
          <w:p w:rsidR="00AF5667" w:rsidRPr="00591965" w:rsidRDefault="00E65396" w:rsidP="0092660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415</w:t>
            </w:r>
          </w:p>
        </w:tc>
      </w:tr>
      <w:tr w:rsidR="00AF566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F418A6">
            <w:pPr>
              <w:contextualSpacing/>
              <w:cnfStyle w:val="000000000000" w:firstRow="0" w:lastRow="0" w:firstColumn="0" w:lastColumn="0" w:oddVBand="0" w:evenVBand="0" w:oddHBand="0" w:evenHBand="0" w:firstRowFirstColumn="0" w:firstRowLastColumn="0" w:lastRowFirstColumn="0" w:lastRowLastColumn="0"/>
              <w:rPr>
                <w:color w:val="auto"/>
              </w:rPr>
            </w:pPr>
            <w:r w:rsidRPr="00591965">
              <w:rPr>
                <w:color w:val="auto"/>
              </w:rPr>
              <w:t xml:space="preserve">Ministarstvo </w:t>
            </w:r>
            <w:r w:rsidR="00F418A6">
              <w:rPr>
                <w:color w:val="auto"/>
              </w:rPr>
              <w:t xml:space="preserve">zdravstva </w:t>
            </w:r>
          </w:p>
        </w:tc>
        <w:tc>
          <w:tcPr>
            <w:tcW w:w="2410" w:type="dxa"/>
            <w:noWrap/>
            <w:vAlign w:val="center"/>
          </w:tcPr>
          <w:p w:rsidR="00AF5667" w:rsidRPr="00591965" w:rsidRDefault="00280186"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39</w:t>
            </w:r>
          </w:p>
        </w:tc>
        <w:tc>
          <w:tcPr>
            <w:tcW w:w="2693"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271</w:t>
            </w:r>
          </w:p>
        </w:tc>
        <w:tc>
          <w:tcPr>
            <w:tcW w:w="2410"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744</w:t>
            </w:r>
          </w:p>
        </w:tc>
      </w:tr>
      <w:tr w:rsidR="00AF566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F418A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 xml:space="preserve">Ministarstvo </w:t>
            </w:r>
            <w:r w:rsidR="00F418A6">
              <w:rPr>
                <w:color w:val="auto"/>
              </w:rPr>
              <w:t>turizma i sporta</w:t>
            </w:r>
          </w:p>
        </w:tc>
        <w:tc>
          <w:tcPr>
            <w:tcW w:w="2410" w:type="dxa"/>
            <w:noWrap/>
            <w:vAlign w:val="center"/>
          </w:tcPr>
          <w:p w:rsidR="00AF5667" w:rsidRPr="00591965" w:rsidRDefault="00280186" w:rsidP="0092660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15</w:t>
            </w:r>
          </w:p>
        </w:tc>
        <w:tc>
          <w:tcPr>
            <w:tcW w:w="2693"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62</w:t>
            </w:r>
          </w:p>
        </w:tc>
        <w:tc>
          <w:tcPr>
            <w:tcW w:w="2410"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321</w:t>
            </w:r>
          </w:p>
        </w:tc>
      </w:tr>
      <w:tr w:rsidR="00AF566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AF5667" w:rsidRPr="00591965" w:rsidRDefault="00AF5667" w:rsidP="00F418A6">
            <w:pPr>
              <w:contextualSpacing/>
              <w:cnfStyle w:val="000000000000" w:firstRow="0" w:lastRow="0" w:firstColumn="0" w:lastColumn="0" w:oddVBand="0" w:evenVBand="0" w:oddHBand="0" w:evenHBand="0" w:firstRowFirstColumn="0" w:firstRowLastColumn="0" w:lastRowFirstColumn="0" w:lastRowLastColumn="0"/>
              <w:rPr>
                <w:color w:val="auto"/>
                <w:highlight w:val="green"/>
              </w:rPr>
            </w:pPr>
            <w:r w:rsidRPr="00591965">
              <w:rPr>
                <w:color w:val="auto"/>
              </w:rPr>
              <w:t xml:space="preserve">Ministarstvo </w:t>
            </w:r>
            <w:r w:rsidR="00F418A6">
              <w:rPr>
                <w:color w:val="auto"/>
              </w:rPr>
              <w:t>kulture i medija</w:t>
            </w:r>
            <w:r w:rsidRPr="00591965">
              <w:rPr>
                <w:color w:val="auto"/>
              </w:rPr>
              <w:tab/>
            </w:r>
          </w:p>
        </w:tc>
        <w:tc>
          <w:tcPr>
            <w:tcW w:w="2410" w:type="dxa"/>
            <w:noWrap/>
            <w:vAlign w:val="center"/>
          </w:tcPr>
          <w:p w:rsidR="00AF5667" w:rsidRPr="00591965" w:rsidRDefault="00280186"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17</w:t>
            </w:r>
          </w:p>
        </w:tc>
        <w:tc>
          <w:tcPr>
            <w:tcW w:w="2693"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124</w:t>
            </w:r>
          </w:p>
        </w:tc>
        <w:tc>
          <w:tcPr>
            <w:tcW w:w="2410" w:type="dxa"/>
            <w:noWrap/>
            <w:vAlign w:val="center"/>
          </w:tcPr>
          <w:p w:rsidR="00AF5667" w:rsidRPr="00591965" w:rsidRDefault="00280186"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445</w:t>
            </w:r>
          </w:p>
        </w:tc>
      </w:tr>
      <w:tr w:rsidR="00AF5667" w:rsidRPr="00FD137E" w:rsidTr="00F418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4A6B47" w:rsidRDefault="00AF5667" w:rsidP="00591965">
            <w:pPr>
              <w:pStyle w:val="ListParagraph"/>
              <w:numPr>
                <w:ilvl w:val="0"/>
                <w:numId w:val="1"/>
              </w:numPr>
              <w:jc w:val="center"/>
              <w:rPr>
                <w:rFonts w:eastAsia="Times New Roman" w:cs="Times New Roman"/>
                <w:b w:val="0"/>
                <w:color w:val="000000"/>
                <w:lang w:eastAsia="hr-HR"/>
              </w:rPr>
            </w:pPr>
          </w:p>
        </w:tc>
        <w:tc>
          <w:tcPr>
            <w:tcW w:w="5775" w:type="dxa"/>
            <w:vAlign w:val="center"/>
            <w:hideMark/>
          </w:tcPr>
          <w:p w:rsidR="00AF5667" w:rsidRPr="00591965" w:rsidRDefault="00AF5667" w:rsidP="008E6FE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 xml:space="preserve">Ministarstvo </w:t>
            </w:r>
            <w:r w:rsidR="00926606" w:rsidRPr="00591965">
              <w:rPr>
                <w:color w:val="auto"/>
              </w:rPr>
              <w:t>prostornoga uređenja, graditeljstva i državne imovine</w:t>
            </w:r>
          </w:p>
        </w:tc>
        <w:tc>
          <w:tcPr>
            <w:tcW w:w="2410" w:type="dxa"/>
            <w:noWrap/>
            <w:vAlign w:val="center"/>
          </w:tcPr>
          <w:p w:rsidR="00AF5667" w:rsidRPr="00591965" w:rsidRDefault="00280186" w:rsidP="0092660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31</w:t>
            </w:r>
          </w:p>
        </w:tc>
        <w:tc>
          <w:tcPr>
            <w:tcW w:w="2693"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286</w:t>
            </w:r>
          </w:p>
        </w:tc>
        <w:tc>
          <w:tcPr>
            <w:tcW w:w="2410" w:type="dxa"/>
            <w:noWrap/>
            <w:vAlign w:val="center"/>
          </w:tcPr>
          <w:p w:rsidR="00AF5667" w:rsidRPr="00591965" w:rsidRDefault="00280186"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1040</w:t>
            </w:r>
          </w:p>
        </w:tc>
      </w:tr>
      <w:tr w:rsidR="00D20FD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Pr="00591965" w:rsidRDefault="00D20FD7" w:rsidP="00D20FD7">
            <w:pPr>
              <w:contextualSpacing/>
              <w:cnfStyle w:val="000000000000" w:firstRow="0" w:lastRow="0" w:firstColumn="0" w:lastColumn="0" w:oddVBand="0" w:evenVBand="0" w:oddHBand="0" w:evenHBand="0" w:firstRowFirstColumn="0" w:firstRowLastColumn="0" w:lastRowFirstColumn="0" w:lastRowLastColumn="0"/>
              <w:rPr>
                <w:color w:val="auto"/>
              </w:rPr>
            </w:pPr>
            <w:r>
              <w:rPr>
                <w:color w:val="auto"/>
              </w:rPr>
              <w:t>Ministarstvo vanjskih i europskih poslova</w:t>
            </w:r>
          </w:p>
        </w:tc>
        <w:tc>
          <w:tcPr>
            <w:tcW w:w="2410" w:type="dxa"/>
            <w:noWrap/>
            <w:vAlign w:val="center"/>
          </w:tcPr>
          <w:p w:rsidR="00D20FD7" w:rsidRPr="00591965" w:rsidRDefault="00D20FD7" w:rsidP="00D20FD7">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5</w:t>
            </w:r>
          </w:p>
        </w:tc>
        <w:tc>
          <w:tcPr>
            <w:tcW w:w="2693" w:type="dxa"/>
            <w:noWrap/>
            <w:vAlign w:val="center"/>
          </w:tcPr>
          <w:p w:rsidR="00D20FD7" w:rsidRPr="00591965"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7</w:t>
            </w:r>
          </w:p>
        </w:tc>
        <w:tc>
          <w:tcPr>
            <w:tcW w:w="2410" w:type="dxa"/>
            <w:noWrap/>
            <w:vAlign w:val="center"/>
          </w:tcPr>
          <w:p w:rsidR="00D20FD7" w:rsidRPr="00591965"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33</w:t>
            </w:r>
          </w:p>
        </w:tc>
      </w:tr>
      <w:tr w:rsidR="00ED7888"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ED7888" w:rsidRPr="004A6B47" w:rsidRDefault="00ED7888"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ED7888" w:rsidRPr="00591965" w:rsidRDefault="00ED7888" w:rsidP="00F418A6">
            <w:pPr>
              <w:contextualSpacing/>
              <w:cnfStyle w:val="000000100000" w:firstRow="0" w:lastRow="0" w:firstColumn="0" w:lastColumn="0" w:oddVBand="0" w:evenVBand="0" w:oddHBand="1" w:evenHBand="0" w:firstRowFirstColumn="0" w:firstRowLastColumn="0" w:lastRowFirstColumn="0" w:lastRowLastColumn="0"/>
              <w:rPr>
                <w:color w:val="auto"/>
              </w:rPr>
            </w:pPr>
            <w:r w:rsidRPr="00591965">
              <w:rPr>
                <w:color w:val="auto"/>
              </w:rPr>
              <w:t xml:space="preserve">Ministarstvo </w:t>
            </w:r>
            <w:r w:rsidR="00F418A6">
              <w:rPr>
                <w:color w:val="auto"/>
              </w:rPr>
              <w:t>hrvatskih branitelja</w:t>
            </w:r>
          </w:p>
        </w:tc>
        <w:tc>
          <w:tcPr>
            <w:tcW w:w="2410" w:type="dxa"/>
            <w:noWrap/>
            <w:vAlign w:val="center"/>
          </w:tcPr>
          <w:p w:rsidR="00ED7888" w:rsidRPr="00591965" w:rsidRDefault="00280186" w:rsidP="00ED7888">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7</w:t>
            </w:r>
          </w:p>
        </w:tc>
        <w:tc>
          <w:tcPr>
            <w:tcW w:w="2693" w:type="dxa"/>
            <w:noWrap/>
            <w:vAlign w:val="center"/>
          </w:tcPr>
          <w:p w:rsidR="00ED7888" w:rsidRPr="00591965" w:rsidRDefault="00280186" w:rsidP="00ED78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43</w:t>
            </w:r>
          </w:p>
        </w:tc>
        <w:tc>
          <w:tcPr>
            <w:tcW w:w="2410" w:type="dxa"/>
            <w:noWrap/>
            <w:vAlign w:val="center"/>
          </w:tcPr>
          <w:p w:rsidR="00ED7888" w:rsidRPr="00591965" w:rsidRDefault="00280186" w:rsidP="00ED78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162</w:t>
            </w:r>
          </w:p>
        </w:tc>
      </w:tr>
      <w:tr w:rsidR="00ED7888"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ED7888" w:rsidRPr="004A6B47" w:rsidRDefault="00ED7888"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ED7888" w:rsidRPr="00591965" w:rsidRDefault="00ED7888" w:rsidP="00F418A6">
            <w:pPr>
              <w:contextualSpacing/>
              <w:cnfStyle w:val="000000000000" w:firstRow="0" w:lastRow="0" w:firstColumn="0" w:lastColumn="0" w:oddVBand="0" w:evenVBand="0" w:oddHBand="0" w:evenHBand="0" w:firstRowFirstColumn="0" w:firstRowLastColumn="0" w:lastRowFirstColumn="0" w:lastRowLastColumn="0"/>
              <w:rPr>
                <w:color w:val="auto"/>
              </w:rPr>
            </w:pPr>
            <w:r w:rsidRPr="00591965">
              <w:rPr>
                <w:color w:val="auto"/>
              </w:rPr>
              <w:t xml:space="preserve">Ministarstvo </w:t>
            </w:r>
            <w:r w:rsidR="00F418A6">
              <w:rPr>
                <w:color w:val="auto"/>
              </w:rPr>
              <w:t>regionalnog razvoja i fondova Europske unije</w:t>
            </w:r>
          </w:p>
        </w:tc>
        <w:tc>
          <w:tcPr>
            <w:tcW w:w="2410" w:type="dxa"/>
            <w:noWrap/>
            <w:vAlign w:val="center"/>
          </w:tcPr>
          <w:p w:rsidR="00ED7888" w:rsidRPr="00591965" w:rsidRDefault="00F418A6" w:rsidP="00ED7888">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13</w:t>
            </w:r>
          </w:p>
        </w:tc>
        <w:tc>
          <w:tcPr>
            <w:tcW w:w="2693" w:type="dxa"/>
            <w:noWrap/>
            <w:vAlign w:val="center"/>
          </w:tcPr>
          <w:p w:rsidR="00ED7888" w:rsidRPr="00591965" w:rsidRDefault="00280186" w:rsidP="00ED78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98</w:t>
            </w:r>
          </w:p>
        </w:tc>
        <w:tc>
          <w:tcPr>
            <w:tcW w:w="2410" w:type="dxa"/>
            <w:noWrap/>
            <w:vAlign w:val="center"/>
          </w:tcPr>
          <w:p w:rsidR="00ED7888" w:rsidRPr="00591965" w:rsidRDefault="00280186" w:rsidP="00ED788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367</w:t>
            </w:r>
          </w:p>
        </w:tc>
      </w:tr>
      <w:tr w:rsidR="00D20FD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Pr="00591965" w:rsidRDefault="00D20FD7" w:rsidP="00D20FD7">
            <w:pPr>
              <w:contextualSpacing/>
              <w:cnfStyle w:val="000000100000" w:firstRow="0" w:lastRow="0" w:firstColumn="0" w:lastColumn="0" w:oddVBand="0" w:evenVBand="0" w:oddHBand="1" w:evenHBand="0" w:firstRowFirstColumn="0" w:firstRowLastColumn="0" w:lastRowFirstColumn="0" w:lastRowLastColumn="0"/>
            </w:pPr>
            <w:r>
              <w:rPr>
                <w:color w:val="auto"/>
              </w:rPr>
              <w:t>Ministarstvo obrane</w:t>
            </w:r>
          </w:p>
        </w:tc>
        <w:tc>
          <w:tcPr>
            <w:tcW w:w="2410" w:type="dxa"/>
            <w:noWrap/>
            <w:vAlign w:val="center"/>
          </w:tcPr>
          <w:p w:rsidR="00D20FD7" w:rsidRDefault="00D20FD7" w:rsidP="00D20FD7">
            <w:pPr>
              <w:contextualSpacing/>
              <w:jc w:val="center"/>
              <w:cnfStyle w:val="000000100000" w:firstRow="0" w:lastRow="0" w:firstColumn="0" w:lastColumn="0" w:oddVBand="0" w:evenVBand="0" w:oddHBand="1" w:evenHBand="0" w:firstRowFirstColumn="0" w:firstRowLastColumn="0" w:lastRowFirstColumn="0" w:lastRowLastColumn="0"/>
            </w:pPr>
            <w:r>
              <w:rPr>
                <w:color w:val="auto"/>
              </w:rPr>
              <w:t>12</w:t>
            </w:r>
          </w:p>
        </w:tc>
        <w:tc>
          <w:tcPr>
            <w:tcW w:w="2693"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31</w:t>
            </w:r>
          </w:p>
        </w:tc>
        <w:tc>
          <w:tcPr>
            <w:tcW w:w="2410"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63</w:t>
            </w:r>
          </w:p>
        </w:tc>
      </w:tr>
      <w:tr w:rsidR="00D20FD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000000" w:firstRow="0" w:lastRow="0" w:firstColumn="0" w:lastColumn="0" w:oddVBand="0" w:evenVBand="0" w:oddHBand="0" w:evenHBand="0" w:firstRowFirstColumn="0" w:firstRowLastColumn="0" w:lastRowFirstColumn="0" w:lastRowLastColumn="0"/>
            </w:pPr>
            <w:r>
              <w:rPr>
                <w:color w:val="auto"/>
              </w:rPr>
              <w:t>Središnji državni ured za demografiju i mlade</w:t>
            </w:r>
          </w:p>
        </w:tc>
        <w:tc>
          <w:tcPr>
            <w:tcW w:w="2410" w:type="dxa"/>
            <w:noWrap/>
            <w:vAlign w:val="center"/>
          </w:tcPr>
          <w:p w:rsidR="00D20FD7" w:rsidRDefault="00D20FD7" w:rsidP="00D20FD7">
            <w:pPr>
              <w:contextualSpacing/>
              <w:jc w:val="center"/>
              <w:cnfStyle w:val="000000000000" w:firstRow="0" w:lastRow="0" w:firstColumn="0" w:lastColumn="0" w:oddVBand="0" w:evenVBand="0" w:oddHBand="0" w:evenHBand="0" w:firstRowFirstColumn="0" w:firstRowLastColumn="0" w:lastRowFirstColumn="0" w:lastRowLastColumn="0"/>
            </w:pPr>
            <w:r>
              <w:rPr>
                <w:color w:val="auto"/>
              </w:rPr>
              <w:t>7</w:t>
            </w:r>
          </w:p>
        </w:tc>
        <w:tc>
          <w:tcPr>
            <w:tcW w:w="2693" w:type="dxa"/>
            <w:noWrap/>
            <w:vAlign w:val="center"/>
          </w:tcPr>
          <w:p w:rsidR="00D20FD7" w:rsidRDefault="00E65396"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80</w:t>
            </w:r>
          </w:p>
        </w:tc>
        <w:tc>
          <w:tcPr>
            <w:tcW w:w="2410"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2</w:t>
            </w:r>
            <w:r w:rsidR="00E65396">
              <w:rPr>
                <w:rFonts w:eastAsia="Times New Roman" w:cs="Times New Roman"/>
                <w:bCs/>
                <w:color w:val="auto"/>
                <w:lang w:eastAsia="hr-HR"/>
              </w:rPr>
              <w:t>76</w:t>
            </w:r>
          </w:p>
        </w:tc>
      </w:tr>
      <w:tr w:rsidR="00D20FD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100000" w:firstRow="0" w:lastRow="0" w:firstColumn="0" w:lastColumn="0" w:oddVBand="0" w:evenVBand="0" w:oddHBand="1" w:evenHBand="0" w:firstRowFirstColumn="0" w:firstRowLastColumn="0" w:lastRowFirstColumn="0" w:lastRowLastColumn="0"/>
            </w:pPr>
            <w:r>
              <w:rPr>
                <w:color w:val="auto"/>
              </w:rPr>
              <w:t>Središnji državni ured za razvoj digitalnog društva</w:t>
            </w:r>
          </w:p>
        </w:tc>
        <w:tc>
          <w:tcPr>
            <w:tcW w:w="2410" w:type="dxa"/>
            <w:noWrap/>
            <w:vAlign w:val="center"/>
          </w:tcPr>
          <w:p w:rsidR="00D20FD7" w:rsidRDefault="00D20FD7" w:rsidP="00D20FD7">
            <w:pPr>
              <w:contextualSpacing/>
              <w:jc w:val="center"/>
              <w:cnfStyle w:val="000000100000" w:firstRow="0" w:lastRow="0" w:firstColumn="0" w:lastColumn="0" w:oddVBand="0" w:evenVBand="0" w:oddHBand="1" w:evenHBand="0" w:firstRowFirstColumn="0" w:firstRowLastColumn="0" w:lastRowFirstColumn="0" w:lastRowLastColumn="0"/>
            </w:pPr>
            <w:r>
              <w:rPr>
                <w:color w:val="auto"/>
              </w:rPr>
              <w:t>1</w:t>
            </w:r>
          </w:p>
        </w:tc>
        <w:tc>
          <w:tcPr>
            <w:tcW w:w="2693"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2</w:t>
            </w:r>
          </w:p>
        </w:tc>
        <w:tc>
          <w:tcPr>
            <w:tcW w:w="2410"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2</w:t>
            </w:r>
          </w:p>
        </w:tc>
      </w:tr>
      <w:tr w:rsidR="00D20FD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000000" w:firstRow="0" w:lastRow="0" w:firstColumn="0" w:lastColumn="0" w:oddVBand="0" w:evenVBand="0" w:oddHBand="0" w:evenHBand="0" w:firstRowFirstColumn="0" w:firstRowLastColumn="0" w:lastRowFirstColumn="0" w:lastRowLastColumn="0"/>
            </w:pPr>
            <w:r>
              <w:rPr>
                <w:color w:val="auto"/>
              </w:rPr>
              <w:t>Središnji državni ured za Hrvate izvan Republike Hrvatske</w:t>
            </w:r>
          </w:p>
        </w:tc>
        <w:tc>
          <w:tcPr>
            <w:tcW w:w="2410" w:type="dxa"/>
            <w:noWrap/>
            <w:vAlign w:val="center"/>
          </w:tcPr>
          <w:p w:rsidR="00D20FD7" w:rsidRDefault="00D20FD7" w:rsidP="00D20FD7">
            <w:pPr>
              <w:contextualSpacing/>
              <w:jc w:val="center"/>
              <w:cnfStyle w:val="000000000000" w:firstRow="0" w:lastRow="0" w:firstColumn="0" w:lastColumn="0" w:oddVBand="0" w:evenVBand="0" w:oddHBand="0" w:evenHBand="0" w:firstRowFirstColumn="0" w:firstRowLastColumn="0" w:lastRowFirstColumn="0" w:lastRowLastColumn="0"/>
            </w:pPr>
            <w:r>
              <w:rPr>
                <w:color w:val="auto"/>
              </w:rPr>
              <w:t>3</w:t>
            </w:r>
          </w:p>
        </w:tc>
        <w:tc>
          <w:tcPr>
            <w:tcW w:w="2693"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1</w:t>
            </w:r>
          </w:p>
        </w:tc>
        <w:tc>
          <w:tcPr>
            <w:tcW w:w="2410"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1</w:t>
            </w:r>
          </w:p>
        </w:tc>
      </w:tr>
      <w:tr w:rsidR="00ED7888" w:rsidRPr="00FD137E" w:rsidTr="0059196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ED7888" w:rsidRPr="004A6B47" w:rsidRDefault="00ED7888"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ED7888" w:rsidRPr="00591965" w:rsidRDefault="00F418A6" w:rsidP="00ED7888">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Državni zavod za mjeriteljstvo</w:t>
            </w:r>
          </w:p>
        </w:tc>
        <w:tc>
          <w:tcPr>
            <w:tcW w:w="2410" w:type="dxa"/>
            <w:noWrap/>
            <w:vAlign w:val="center"/>
          </w:tcPr>
          <w:p w:rsidR="00ED7888" w:rsidRPr="00591965" w:rsidRDefault="00280186" w:rsidP="00ED7888">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w:t>
            </w:r>
          </w:p>
        </w:tc>
        <w:tc>
          <w:tcPr>
            <w:tcW w:w="2693" w:type="dxa"/>
            <w:noWrap/>
            <w:vAlign w:val="center"/>
          </w:tcPr>
          <w:p w:rsidR="00ED7888" w:rsidRPr="00591965" w:rsidRDefault="00280186" w:rsidP="00ED78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0</w:t>
            </w:r>
          </w:p>
        </w:tc>
        <w:tc>
          <w:tcPr>
            <w:tcW w:w="2410" w:type="dxa"/>
            <w:noWrap/>
            <w:vAlign w:val="center"/>
          </w:tcPr>
          <w:p w:rsidR="00ED7888" w:rsidRPr="00591965" w:rsidRDefault="00280186" w:rsidP="00ED788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0</w:t>
            </w:r>
          </w:p>
        </w:tc>
      </w:tr>
      <w:tr w:rsidR="00D20FD7" w:rsidRPr="00FD137E" w:rsidTr="00591965">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000000" w:firstRow="0" w:lastRow="0" w:firstColumn="0" w:lastColumn="0" w:oddVBand="0" w:evenVBand="0" w:oddHBand="0" w:evenHBand="0" w:firstRowFirstColumn="0" w:firstRowLastColumn="0" w:lastRowFirstColumn="0" w:lastRowLastColumn="0"/>
            </w:pPr>
            <w:r>
              <w:rPr>
                <w:color w:val="auto"/>
              </w:rPr>
              <w:t>Državni inspektorat</w:t>
            </w:r>
          </w:p>
        </w:tc>
        <w:tc>
          <w:tcPr>
            <w:tcW w:w="2410" w:type="dxa"/>
            <w:noWrap/>
            <w:vAlign w:val="center"/>
          </w:tcPr>
          <w:p w:rsidR="00D20FD7" w:rsidRDefault="00D20FD7" w:rsidP="00D20FD7">
            <w:pPr>
              <w:contextualSpacing/>
              <w:jc w:val="center"/>
              <w:cnfStyle w:val="000000000000" w:firstRow="0" w:lastRow="0" w:firstColumn="0" w:lastColumn="0" w:oddVBand="0" w:evenVBand="0" w:oddHBand="0" w:evenHBand="0" w:firstRowFirstColumn="0" w:firstRowLastColumn="0" w:lastRowFirstColumn="0" w:lastRowLastColumn="0"/>
            </w:pPr>
            <w:r>
              <w:rPr>
                <w:color w:val="auto"/>
              </w:rPr>
              <w:t>5</w:t>
            </w:r>
          </w:p>
        </w:tc>
        <w:tc>
          <w:tcPr>
            <w:tcW w:w="2693"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4</w:t>
            </w:r>
          </w:p>
        </w:tc>
        <w:tc>
          <w:tcPr>
            <w:tcW w:w="2410"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17</w:t>
            </w:r>
          </w:p>
        </w:tc>
      </w:tr>
      <w:tr w:rsidR="00D20FD7" w:rsidRPr="00FD137E" w:rsidTr="0059196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100000" w:firstRow="0" w:lastRow="0" w:firstColumn="0" w:lastColumn="0" w:oddVBand="0" w:evenVBand="0" w:oddHBand="1" w:evenHBand="0" w:firstRowFirstColumn="0" w:firstRowLastColumn="0" w:lastRowFirstColumn="0" w:lastRowLastColumn="0"/>
            </w:pPr>
            <w:r>
              <w:rPr>
                <w:color w:val="auto"/>
              </w:rPr>
              <w:t>Državna geodetska uprava</w:t>
            </w:r>
          </w:p>
        </w:tc>
        <w:tc>
          <w:tcPr>
            <w:tcW w:w="2410" w:type="dxa"/>
            <w:noWrap/>
            <w:vAlign w:val="center"/>
          </w:tcPr>
          <w:p w:rsidR="00D20FD7" w:rsidRDefault="00D20FD7" w:rsidP="00D20FD7">
            <w:pPr>
              <w:contextualSpacing/>
              <w:jc w:val="center"/>
              <w:cnfStyle w:val="000000100000" w:firstRow="0" w:lastRow="0" w:firstColumn="0" w:lastColumn="0" w:oddVBand="0" w:evenVBand="0" w:oddHBand="1" w:evenHBand="0" w:firstRowFirstColumn="0" w:firstRowLastColumn="0" w:lastRowFirstColumn="0" w:lastRowLastColumn="0"/>
            </w:pPr>
            <w:r>
              <w:rPr>
                <w:color w:val="auto"/>
              </w:rPr>
              <w:t>4</w:t>
            </w:r>
          </w:p>
        </w:tc>
        <w:tc>
          <w:tcPr>
            <w:tcW w:w="2693"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3</w:t>
            </w:r>
          </w:p>
        </w:tc>
        <w:tc>
          <w:tcPr>
            <w:tcW w:w="2410"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3</w:t>
            </w:r>
          </w:p>
        </w:tc>
      </w:tr>
      <w:tr w:rsidR="00D20FD7" w:rsidRPr="00FD137E" w:rsidTr="00591965">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000000" w:firstRow="0" w:lastRow="0" w:firstColumn="0" w:lastColumn="0" w:oddVBand="0" w:evenVBand="0" w:oddHBand="0" w:evenHBand="0" w:firstRowFirstColumn="0" w:firstRowLastColumn="0" w:lastRowFirstColumn="0" w:lastRowLastColumn="0"/>
            </w:pPr>
            <w:r>
              <w:rPr>
                <w:color w:val="auto"/>
              </w:rPr>
              <w:t>Državni zavod za intelektualno vlasništvo</w:t>
            </w:r>
          </w:p>
        </w:tc>
        <w:tc>
          <w:tcPr>
            <w:tcW w:w="2410" w:type="dxa"/>
            <w:noWrap/>
            <w:vAlign w:val="center"/>
          </w:tcPr>
          <w:p w:rsidR="00D20FD7" w:rsidRDefault="00D20FD7" w:rsidP="00D20FD7">
            <w:pPr>
              <w:contextualSpacing/>
              <w:jc w:val="center"/>
              <w:cnfStyle w:val="000000000000" w:firstRow="0" w:lastRow="0" w:firstColumn="0" w:lastColumn="0" w:oddVBand="0" w:evenVBand="0" w:oddHBand="0" w:evenHBand="0" w:firstRowFirstColumn="0" w:firstRowLastColumn="0" w:lastRowFirstColumn="0" w:lastRowLastColumn="0"/>
            </w:pPr>
            <w:r>
              <w:rPr>
                <w:color w:val="auto"/>
              </w:rPr>
              <w:t>2</w:t>
            </w:r>
          </w:p>
        </w:tc>
        <w:tc>
          <w:tcPr>
            <w:tcW w:w="2693"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0</w:t>
            </w:r>
          </w:p>
        </w:tc>
        <w:tc>
          <w:tcPr>
            <w:tcW w:w="2410" w:type="dxa"/>
            <w:noWrap/>
            <w:vAlign w:val="center"/>
          </w:tcPr>
          <w:p w:rsidR="00D20FD7" w:rsidRDefault="00D20FD7" w:rsidP="00D20F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0</w:t>
            </w:r>
          </w:p>
        </w:tc>
      </w:tr>
      <w:tr w:rsidR="00D20FD7" w:rsidRPr="00FD137E" w:rsidTr="0059196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color w:val="000000"/>
                <w:lang w:eastAsia="hr-HR"/>
              </w:rPr>
            </w:pPr>
          </w:p>
        </w:tc>
        <w:tc>
          <w:tcPr>
            <w:tcW w:w="5775" w:type="dxa"/>
            <w:vAlign w:val="center"/>
          </w:tcPr>
          <w:p w:rsidR="00D20FD7" w:rsidRDefault="00D20FD7" w:rsidP="00D20FD7">
            <w:pPr>
              <w:contextualSpacing/>
              <w:cnfStyle w:val="000000100000" w:firstRow="0" w:lastRow="0" w:firstColumn="0" w:lastColumn="0" w:oddVBand="0" w:evenVBand="0" w:oddHBand="1" w:evenHBand="0" w:firstRowFirstColumn="0" w:firstRowLastColumn="0" w:lastRowFirstColumn="0" w:lastRowLastColumn="0"/>
            </w:pPr>
            <w:r>
              <w:rPr>
                <w:color w:val="auto"/>
              </w:rPr>
              <w:t>Državni zavod za statistiku</w:t>
            </w:r>
          </w:p>
        </w:tc>
        <w:tc>
          <w:tcPr>
            <w:tcW w:w="2410" w:type="dxa"/>
            <w:noWrap/>
            <w:vAlign w:val="center"/>
          </w:tcPr>
          <w:p w:rsidR="00D20FD7" w:rsidRDefault="00D20FD7" w:rsidP="00D20FD7">
            <w:pPr>
              <w:contextualSpacing/>
              <w:jc w:val="center"/>
              <w:cnfStyle w:val="000000100000" w:firstRow="0" w:lastRow="0" w:firstColumn="0" w:lastColumn="0" w:oddVBand="0" w:evenVBand="0" w:oddHBand="1" w:evenHBand="0" w:firstRowFirstColumn="0" w:firstRowLastColumn="0" w:lastRowFirstColumn="0" w:lastRowLastColumn="0"/>
            </w:pPr>
            <w:r>
              <w:rPr>
                <w:color w:val="auto"/>
              </w:rPr>
              <w:t>1</w:t>
            </w:r>
          </w:p>
        </w:tc>
        <w:tc>
          <w:tcPr>
            <w:tcW w:w="2693"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28</w:t>
            </w:r>
          </w:p>
        </w:tc>
        <w:tc>
          <w:tcPr>
            <w:tcW w:w="2410"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36</w:t>
            </w:r>
          </w:p>
        </w:tc>
      </w:tr>
      <w:tr w:rsidR="00FC6B75"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FC6B75" w:rsidRPr="004A6B47" w:rsidRDefault="00FC6B75" w:rsidP="00FC6B75">
            <w:pPr>
              <w:pStyle w:val="ListParagraph"/>
              <w:numPr>
                <w:ilvl w:val="0"/>
                <w:numId w:val="1"/>
              </w:numPr>
              <w:jc w:val="center"/>
              <w:rPr>
                <w:rFonts w:eastAsia="Times New Roman" w:cs="Times New Roman"/>
                <w:b w:val="0"/>
                <w:color w:val="000000"/>
                <w:lang w:eastAsia="hr-HR"/>
              </w:rPr>
            </w:pPr>
          </w:p>
        </w:tc>
        <w:tc>
          <w:tcPr>
            <w:tcW w:w="5775" w:type="dxa"/>
            <w:vAlign w:val="center"/>
          </w:tcPr>
          <w:p w:rsidR="00FC6B75" w:rsidRPr="00591965" w:rsidRDefault="00FC6B75" w:rsidP="00FC6B75">
            <w:pPr>
              <w:contextualSpacing/>
              <w:cnfStyle w:val="000000000000" w:firstRow="0" w:lastRow="0" w:firstColumn="0" w:lastColumn="0" w:oddVBand="0" w:evenVBand="0" w:oddHBand="0" w:evenHBand="0" w:firstRowFirstColumn="0" w:firstRowLastColumn="0" w:lastRowFirstColumn="0" w:lastRowLastColumn="0"/>
              <w:rPr>
                <w:color w:val="auto"/>
              </w:rPr>
            </w:pPr>
            <w:r w:rsidRPr="00591965">
              <w:rPr>
                <w:color w:val="auto"/>
              </w:rPr>
              <w:t>Ured za ljudska prava i prava nacionalnih manjina Vlade RH</w:t>
            </w:r>
          </w:p>
        </w:tc>
        <w:tc>
          <w:tcPr>
            <w:tcW w:w="2410" w:type="dxa"/>
            <w:noWrap/>
            <w:vAlign w:val="center"/>
          </w:tcPr>
          <w:p w:rsidR="00FC6B75" w:rsidRPr="00591965" w:rsidRDefault="00FC6B75" w:rsidP="00FC6B75">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tc>
        <w:tc>
          <w:tcPr>
            <w:tcW w:w="2693" w:type="dxa"/>
            <w:noWrap/>
            <w:vAlign w:val="center"/>
          </w:tcPr>
          <w:p w:rsidR="00FC6B75" w:rsidRPr="00591965" w:rsidRDefault="00FC6B75" w:rsidP="00FC6B7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6</w:t>
            </w:r>
          </w:p>
        </w:tc>
        <w:tc>
          <w:tcPr>
            <w:tcW w:w="2410" w:type="dxa"/>
            <w:noWrap/>
            <w:vAlign w:val="center"/>
          </w:tcPr>
          <w:p w:rsidR="00FC6B75" w:rsidRPr="00591965" w:rsidRDefault="00FC6B75" w:rsidP="00FC6B7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22</w:t>
            </w:r>
          </w:p>
        </w:tc>
      </w:tr>
      <w:tr w:rsidR="00FC6B75"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FC6B75" w:rsidRPr="004A6B47" w:rsidRDefault="00FC6B75" w:rsidP="00FC6B75">
            <w:pPr>
              <w:pStyle w:val="ListParagraph"/>
              <w:numPr>
                <w:ilvl w:val="0"/>
                <w:numId w:val="1"/>
              </w:numPr>
              <w:jc w:val="center"/>
              <w:rPr>
                <w:rFonts w:eastAsia="Times New Roman" w:cs="Times New Roman"/>
                <w:b w:val="0"/>
                <w:color w:val="000000"/>
                <w:lang w:eastAsia="hr-HR"/>
              </w:rPr>
            </w:pPr>
          </w:p>
        </w:tc>
        <w:tc>
          <w:tcPr>
            <w:tcW w:w="5775" w:type="dxa"/>
            <w:vAlign w:val="center"/>
          </w:tcPr>
          <w:p w:rsidR="00FC6B75" w:rsidRPr="00591965" w:rsidRDefault="00FC6B75" w:rsidP="00FC6B75">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Ured za udruge Vlade Republike Hrvatske</w:t>
            </w:r>
          </w:p>
        </w:tc>
        <w:tc>
          <w:tcPr>
            <w:tcW w:w="2410" w:type="dxa"/>
            <w:noWrap/>
            <w:vAlign w:val="center"/>
          </w:tcPr>
          <w:p w:rsidR="00FC6B75" w:rsidRPr="00591965" w:rsidRDefault="00FC6B75" w:rsidP="00FC6B75">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1</w:t>
            </w:r>
          </w:p>
        </w:tc>
        <w:tc>
          <w:tcPr>
            <w:tcW w:w="2693" w:type="dxa"/>
            <w:noWrap/>
            <w:vAlign w:val="center"/>
          </w:tcPr>
          <w:p w:rsidR="00FC6B75" w:rsidRPr="00591965" w:rsidRDefault="00FC6B75" w:rsidP="00FC6B7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25</w:t>
            </w:r>
          </w:p>
        </w:tc>
        <w:tc>
          <w:tcPr>
            <w:tcW w:w="2410" w:type="dxa"/>
            <w:noWrap/>
            <w:vAlign w:val="center"/>
          </w:tcPr>
          <w:p w:rsidR="00FC6B75" w:rsidRPr="00591965" w:rsidRDefault="00FC6B75" w:rsidP="00FC6B7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55</w:t>
            </w:r>
          </w:p>
        </w:tc>
      </w:tr>
      <w:tr w:rsidR="00FC6B75"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FC6B75" w:rsidRPr="004A6B47" w:rsidRDefault="00FC6B75" w:rsidP="00FC6B75">
            <w:pPr>
              <w:pStyle w:val="ListParagraph"/>
              <w:numPr>
                <w:ilvl w:val="0"/>
                <w:numId w:val="1"/>
              </w:numPr>
              <w:jc w:val="center"/>
              <w:rPr>
                <w:rFonts w:eastAsia="Times New Roman" w:cs="Times New Roman"/>
                <w:b w:val="0"/>
                <w:color w:val="000000"/>
                <w:lang w:eastAsia="hr-HR"/>
              </w:rPr>
            </w:pPr>
          </w:p>
        </w:tc>
        <w:tc>
          <w:tcPr>
            <w:tcW w:w="5775" w:type="dxa"/>
            <w:vAlign w:val="center"/>
          </w:tcPr>
          <w:p w:rsidR="00FC6B75" w:rsidRPr="00591965" w:rsidRDefault="00FC6B75" w:rsidP="00FC6B75">
            <w:pPr>
              <w:contextualSpacing/>
              <w:cnfStyle w:val="000000000000" w:firstRow="0" w:lastRow="0" w:firstColumn="0" w:lastColumn="0" w:oddVBand="0" w:evenVBand="0" w:oddHBand="0" w:evenHBand="0" w:firstRowFirstColumn="0" w:firstRowLastColumn="0" w:lastRowFirstColumn="0" w:lastRowLastColumn="0"/>
              <w:rPr>
                <w:color w:val="auto"/>
              </w:rPr>
            </w:pPr>
            <w:r>
              <w:rPr>
                <w:color w:val="auto"/>
              </w:rPr>
              <w:t>Ured za zakonodavstvo</w:t>
            </w:r>
          </w:p>
        </w:tc>
        <w:tc>
          <w:tcPr>
            <w:tcW w:w="2410" w:type="dxa"/>
            <w:noWrap/>
            <w:vAlign w:val="center"/>
          </w:tcPr>
          <w:p w:rsidR="00FC6B75" w:rsidRPr="00591965" w:rsidRDefault="00FC6B75" w:rsidP="00FC6B75">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tc>
        <w:tc>
          <w:tcPr>
            <w:tcW w:w="2693" w:type="dxa"/>
            <w:noWrap/>
            <w:vAlign w:val="center"/>
          </w:tcPr>
          <w:p w:rsidR="00FC6B75" w:rsidRPr="00591965" w:rsidRDefault="00FC6B75" w:rsidP="00FC6B7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11</w:t>
            </w:r>
          </w:p>
        </w:tc>
        <w:tc>
          <w:tcPr>
            <w:tcW w:w="2410" w:type="dxa"/>
            <w:noWrap/>
            <w:vAlign w:val="center"/>
          </w:tcPr>
          <w:p w:rsidR="00FC6B75" w:rsidRPr="00591965" w:rsidRDefault="00FC6B75" w:rsidP="00FC6B7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40</w:t>
            </w:r>
          </w:p>
        </w:tc>
      </w:tr>
      <w:tr w:rsidR="00FC6B75"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FC6B75" w:rsidRPr="004A6B47" w:rsidRDefault="00FC6B75" w:rsidP="00FC6B75">
            <w:pPr>
              <w:pStyle w:val="ListParagraph"/>
              <w:numPr>
                <w:ilvl w:val="0"/>
                <w:numId w:val="1"/>
              </w:numPr>
              <w:jc w:val="center"/>
              <w:rPr>
                <w:rFonts w:eastAsia="Times New Roman" w:cs="Times New Roman"/>
                <w:b w:val="0"/>
                <w:color w:val="000000"/>
                <w:lang w:eastAsia="hr-HR"/>
              </w:rPr>
            </w:pPr>
          </w:p>
        </w:tc>
        <w:tc>
          <w:tcPr>
            <w:tcW w:w="5775" w:type="dxa"/>
            <w:vAlign w:val="center"/>
          </w:tcPr>
          <w:p w:rsidR="00FC6B75" w:rsidRDefault="00FC6B75" w:rsidP="00FC6B75">
            <w:pPr>
              <w:contextualSpacing/>
              <w:cnfStyle w:val="000000100000" w:firstRow="0" w:lastRow="0" w:firstColumn="0" w:lastColumn="0" w:oddVBand="0" w:evenVBand="0" w:oddHBand="1" w:evenHBand="0" w:firstRowFirstColumn="0" w:firstRowLastColumn="0" w:lastRowFirstColumn="0" w:lastRowLastColumn="0"/>
            </w:pPr>
            <w:r w:rsidRPr="008841DE">
              <w:rPr>
                <w:color w:val="auto"/>
              </w:rPr>
              <w:t>Ured za ravnopravnost spolova</w:t>
            </w:r>
          </w:p>
        </w:tc>
        <w:tc>
          <w:tcPr>
            <w:tcW w:w="2410" w:type="dxa"/>
            <w:noWrap/>
            <w:vAlign w:val="center"/>
          </w:tcPr>
          <w:p w:rsidR="00FC6B75" w:rsidRDefault="00FC6B75" w:rsidP="00FC6B75">
            <w:pPr>
              <w:contextualSpacing/>
              <w:jc w:val="center"/>
              <w:cnfStyle w:val="000000100000" w:firstRow="0" w:lastRow="0" w:firstColumn="0" w:lastColumn="0" w:oddVBand="0" w:evenVBand="0" w:oddHBand="1" w:evenHBand="0" w:firstRowFirstColumn="0" w:firstRowLastColumn="0" w:lastRowFirstColumn="0" w:lastRowLastColumn="0"/>
            </w:pPr>
            <w:r w:rsidRPr="008841DE">
              <w:rPr>
                <w:color w:val="auto"/>
              </w:rPr>
              <w:t>1</w:t>
            </w:r>
          </w:p>
        </w:tc>
        <w:tc>
          <w:tcPr>
            <w:tcW w:w="2693" w:type="dxa"/>
            <w:noWrap/>
            <w:vAlign w:val="center"/>
          </w:tcPr>
          <w:p w:rsidR="00FC6B75" w:rsidRDefault="00FC6B75" w:rsidP="00FC6B7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6</w:t>
            </w:r>
          </w:p>
        </w:tc>
        <w:tc>
          <w:tcPr>
            <w:tcW w:w="2410" w:type="dxa"/>
            <w:noWrap/>
            <w:vAlign w:val="center"/>
          </w:tcPr>
          <w:p w:rsidR="00FC6B75" w:rsidRDefault="00FC6B75" w:rsidP="00FC6B7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11</w:t>
            </w:r>
          </w:p>
        </w:tc>
      </w:tr>
      <w:tr w:rsidR="00FC6B75"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FC6B75" w:rsidRPr="004A6B47" w:rsidRDefault="00FC6B75" w:rsidP="00FC6B75">
            <w:pPr>
              <w:pStyle w:val="ListParagraph"/>
              <w:numPr>
                <w:ilvl w:val="0"/>
                <w:numId w:val="1"/>
              </w:numPr>
              <w:jc w:val="center"/>
              <w:rPr>
                <w:rFonts w:eastAsia="Times New Roman" w:cs="Times New Roman"/>
                <w:b w:val="0"/>
                <w:color w:val="000000"/>
                <w:lang w:eastAsia="hr-HR"/>
              </w:rPr>
            </w:pPr>
          </w:p>
        </w:tc>
        <w:tc>
          <w:tcPr>
            <w:tcW w:w="5775" w:type="dxa"/>
            <w:vAlign w:val="center"/>
          </w:tcPr>
          <w:p w:rsidR="00FC6B75" w:rsidRPr="00591965" w:rsidRDefault="00FC6B75" w:rsidP="00FC6B75">
            <w:pPr>
              <w:contextualSpacing/>
              <w:cnfStyle w:val="000000000000" w:firstRow="0" w:lastRow="0" w:firstColumn="0" w:lastColumn="0" w:oddVBand="0" w:evenVBand="0" w:oddHBand="0" w:evenHBand="0" w:firstRowFirstColumn="0" w:firstRowLastColumn="0" w:lastRowFirstColumn="0" w:lastRowLastColumn="0"/>
              <w:rPr>
                <w:color w:val="auto"/>
              </w:rPr>
            </w:pPr>
            <w:r>
              <w:rPr>
                <w:color w:val="auto"/>
              </w:rPr>
              <w:t>Hrvatska vatrogasna zajednica</w:t>
            </w:r>
          </w:p>
        </w:tc>
        <w:tc>
          <w:tcPr>
            <w:tcW w:w="2410" w:type="dxa"/>
            <w:noWrap/>
            <w:vAlign w:val="center"/>
          </w:tcPr>
          <w:p w:rsidR="00FC6B75" w:rsidRPr="00591965" w:rsidRDefault="00FC6B75" w:rsidP="00FC6B75">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w:t>
            </w:r>
          </w:p>
        </w:tc>
        <w:tc>
          <w:tcPr>
            <w:tcW w:w="2693" w:type="dxa"/>
            <w:noWrap/>
            <w:vAlign w:val="center"/>
          </w:tcPr>
          <w:p w:rsidR="00FC6B75" w:rsidRPr="00591965" w:rsidRDefault="00FC6B75" w:rsidP="00FC6B7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0</w:t>
            </w:r>
          </w:p>
        </w:tc>
        <w:tc>
          <w:tcPr>
            <w:tcW w:w="2410" w:type="dxa"/>
            <w:noWrap/>
            <w:vAlign w:val="center"/>
          </w:tcPr>
          <w:p w:rsidR="00FC6B75" w:rsidRPr="00591965" w:rsidRDefault="00FC6B75" w:rsidP="00FC6B7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0</w:t>
            </w:r>
          </w:p>
        </w:tc>
      </w:tr>
      <w:tr w:rsidR="00FC6B75" w:rsidRPr="00FD137E" w:rsidTr="00D20F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FC6B75" w:rsidRPr="004A6B47" w:rsidRDefault="00FC6B75" w:rsidP="00FC6B75">
            <w:pPr>
              <w:pStyle w:val="ListParagraph"/>
              <w:numPr>
                <w:ilvl w:val="0"/>
                <w:numId w:val="1"/>
              </w:numPr>
              <w:jc w:val="center"/>
              <w:rPr>
                <w:rFonts w:eastAsia="Times New Roman" w:cs="Times New Roman"/>
                <w:b w:val="0"/>
                <w:color w:val="000000"/>
                <w:lang w:eastAsia="hr-HR"/>
              </w:rPr>
            </w:pPr>
          </w:p>
        </w:tc>
        <w:tc>
          <w:tcPr>
            <w:tcW w:w="5775" w:type="dxa"/>
            <w:vAlign w:val="center"/>
          </w:tcPr>
          <w:p w:rsidR="00FC6B75" w:rsidRPr="00591965" w:rsidRDefault="00FC6B75" w:rsidP="00FC6B75">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Hrvatska agencija za civilno zrakoplovstvo</w:t>
            </w:r>
          </w:p>
        </w:tc>
        <w:tc>
          <w:tcPr>
            <w:tcW w:w="2410" w:type="dxa"/>
            <w:noWrap/>
            <w:vAlign w:val="center"/>
          </w:tcPr>
          <w:p w:rsidR="00FC6B75" w:rsidRPr="00591965" w:rsidRDefault="00FC6B75" w:rsidP="00FC6B75">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1</w:t>
            </w:r>
          </w:p>
        </w:tc>
        <w:tc>
          <w:tcPr>
            <w:tcW w:w="2693" w:type="dxa"/>
            <w:noWrap/>
            <w:vAlign w:val="center"/>
          </w:tcPr>
          <w:p w:rsidR="00FC6B75" w:rsidRPr="00591965" w:rsidRDefault="00FC6B75" w:rsidP="00FC6B7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0</w:t>
            </w:r>
          </w:p>
        </w:tc>
        <w:tc>
          <w:tcPr>
            <w:tcW w:w="2410" w:type="dxa"/>
            <w:noWrap/>
            <w:vAlign w:val="center"/>
          </w:tcPr>
          <w:p w:rsidR="00FC6B75" w:rsidRPr="00591965" w:rsidRDefault="00FC6B75" w:rsidP="00FC6B7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0</w:t>
            </w:r>
          </w:p>
        </w:tc>
      </w:tr>
      <w:tr w:rsidR="00D20FD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591965" w:rsidRPr="004A6B47" w:rsidRDefault="00591965" w:rsidP="00591965">
            <w:pPr>
              <w:pStyle w:val="ListParagraph"/>
              <w:numPr>
                <w:ilvl w:val="0"/>
                <w:numId w:val="1"/>
              </w:numPr>
              <w:jc w:val="center"/>
              <w:rPr>
                <w:rFonts w:eastAsia="Times New Roman" w:cs="Times New Roman"/>
                <w:b w:val="0"/>
                <w:bCs w:val="0"/>
                <w:color w:val="000000"/>
                <w:lang w:eastAsia="hr-HR"/>
              </w:rPr>
            </w:pPr>
          </w:p>
        </w:tc>
        <w:tc>
          <w:tcPr>
            <w:tcW w:w="5775" w:type="dxa"/>
            <w:vAlign w:val="center"/>
          </w:tcPr>
          <w:p w:rsidR="00591965" w:rsidRPr="00591965" w:rsidRDefault="008841DE" w:rsidP="008E6FE6">
            <w:pPr>
              <w:contextualSpacing/>
              <w:cnfStyle w:val="000000000000" w:firstRow="0" w:lastRow="0" w:firstColumn="0" w:lastColumn="0" w:oddVBand="0" w:evenVBand="0" w:oddHBand="0" w:evenHBand="0" w:firstRowFirstColumn="0" w:firstRowLastColumn="0" w:lastRowFirstColumn="0" w:lastRowLastColumn="0"/>
              <w:rPr>
                <w:color w:val="auto"/>
              </w:rPr>
            </w:pPr>
            <w:r>
              <w:rPr>
                <w:color w:val="auto"/>
              </w:rPr>
              <w:t>Hrvatska regulatorna agencija za mrežne djelatnosti</w:t>
            </w:r>
          </w:p>
        </w:tc>
        <w:tc>
          <w:tcPr>
            <w:tcW w:w="2410" w:type="dxa"/>
            <w:noWrap/>
            <w:vAlign w:val="center"/>
          </w:tcPr>
          <w:p w:rsidR="00591965" w:rsidRPr="00591965" w:rsidRDefault="00931650"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20</w:t>
            </w:r>
          </w:p>
        </w:tc>
        <w:tc>
          <w:tcPr>
            <w:tcW w:w="2693" w:type="dxa"/>
            <w:noWrap/>
            <w:vAlign w:val="center"/>
          </w:tcPr>
          <w:p w:rsidR="00591965" w:rsidRPr="00591965" w:rsidRDefault="00931650"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15</w:t>
            </w:r>
          </w:p>
        </w:tc>
        <w:tc>
          <w:tcPr>
            <w:tcW w:w="2410" w:type="dxa"/>
            <w:noWrap/>
            <w:vAlign w:val="center"/>
          </w:tcPr>
          <w:p w:rsidR="00591965" w:rsidRPr="00591965" w:rsidRDefault="00931650"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236</w:t>
            </w:r>
          </w:p>
        </w:tc>
      </w:tr>
      <w:tr w:rsidR="00D20FD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D20FD7" w:rsidRPr="004A6B47" w:rsidRDefault="00D20FD7" w:rsidP="00D20FD7">
            <w:pPr>
              <w:pStyle w:val="ListParagraph"/>
              <w:numPr>
                <w:ilvl w:val="0"/>
                <w:numId w:val="1"/>
              </w:numPr>
              <w:jc w:val="center"/>
              <w:rPr>
                <w:rFonts w:eastAsia="Times New Roman" w:cs="Times New Roman"/>
                <w:b w:val="0"/>
                <w:bCs w:val="0"/>
                <w:color w:val="000000"/>
                <w:lang w:eastAsia="hr-HR"/>
              </w:rPr>
            </w:pPr>
          </w:p>
        </w:tc>
        <w:tc>
          <w:tcPr>
            <w:tcW w:w="5775" w:type="dxa"/>
            <w:vAlign w:val="center"/>
          </w:tcPr>
          <w:p w:rsidR="00D20FD7" w:rsidRDefault="00D20FD7" w:rsidP="00D20FD7">
            <w:pPr>
              <w:contextualSpacing/>
              <w:cnfStyle w:val="000000100000" w:firstRow="0" w:lastRow="0" w:firstColumn="0" w:lastColumn="0" w:oddVBand="0" w:evenVBand="0" w:oddHBand="1" w:evenHBand="0" w:firstRowFirstColumn="0" w:firstRowLastColumn="0" w:lastRowFirstColumn="0" w:lastRowLastColumn="0"/>
            </w:pPr>
            <w:r>
              <w:rPr>
                <w:color w:val="auto"/>
              </w:rPr>
              <w:t>Agencija za elektroničke medije</w:t>
            </w:r>
            <w:r w:rsidRPr="00591965">
              <w:rPr>
                <w:color w:val="auto"/>
              </w:rPr>
              <w:t xml:space="preserve"> </w:t>
            </w:r>
          </w:p>
        </w:tc>
        <w:tc>
          <w:tcPr>
            <w:tcW w:w="2410" w:type="dxa"/>
            <w:noWrap/>
            <w:vAlign w:val="center"/>
          </w:tcPr>
          <w:p w:rsidR="00D20FD7" w:rsidRDefault="00D20FD7" w:rsidP="00D20FD7">
            <w:pPr>
              <w:contextualSpacing/>
              <w:jc w:val="center"/>
              <w:cnfStyle w:val="000000100000" w:firstRow="0" w:lastRow="0" w:firstColumn="0" w:lastColumn="0" w:oddVBand="0" w:evenVBand="0" w:oddHBand="1" w:evenHBand="0" w:firstRowFirstColumn="0" w:firstRowLastColumn="0" w:lastRowFirstColumn="0" w:lastRowLastColumn="0"/>
            </w:pPr>
            <w:r>
              <w:rPr>
                <w:color w:val="auto"/>
              </w:rPr>
              <w:t>2</w:t>
            </w:r>
          </w:p>
        </w:tc>
        <w:tc>
          <w:tcPr>
            <w:tcW w:w="2693"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8</w:t>
            </w:r>
          </w:p>
        </w:tc>
        <w:tc>
          <w:tcPr>
            <w:tcW w:w="2410" w:type="dxa"/>
            <w:noWrap/>
            <w:vAlign w:val="center"/>
          </w:tcPr>
          <w:p w:rsidR="00D20FD7" w:rsidRDefault="00D20FD7" w:rsidP="00D20F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lang w:eastAsia="hr-HR"/>
              </w:rPr>
            </w:pPr>
            <w:r>
              <w:rPr>
                <w:rFonts w:eastAsia="Times New Roman" w:cs="Times New Roman"/>
                <w:bCs/>
                <w:color w:val="auto"/>
                <w:lang w:eastAsia="hr-HR"/>
              </w:rPr>
              <w:t>40</w:t>
            </w:r>
          </w:p>
        </w:tc>
      </w:tr>
      <w:tr w:rsidR="00D20FD7" w:rsidRPr="00FD137E"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8841DE" w:rsidRPr="004A6B47" w:rsidRDefault="008841DE"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8841DE" w:rsidRPr="008841DE" w:rsidRDefault="00931650" w:rsidP="008E6FE6">
            <w:pPr>
              <w:contextualSpacing/>
              <w:cnfStyle w:val="000000000000" w:firstRow="0" w:lastRow="0" w:firstColumn="0" w:lastColumn="0" w:oddVBand="0" w:evenVBand="0" w:oddHBand="0" w:evenHBand="0" w:firstRowFirstColumn="0" w:firstRowLastColumn="0" w:lastRowFirstColumn="0" w:lastRowLastColumn="0"/>
              <w:rPr>
                <w:color w:val="auto"/>
              </w:rPr>
            </w:pPr>
            <w:r>
              <w:rPr>
                <w:color w:val="auto"/>
              </w:rPr>
              <w:t>Hrvatska psihološka komora</w:t>
            </w:r>
          </w:p>
        </w:tc>
        <w:tc>
          <w:tcPr>
            <w:tcW w:w="2410" w:type="dxa"/>
            <w:noWrap/>
            <w:vAlign w:val="center"/>
          </w:tcPr>
          <w:p w:rsidR="008841DE" w:rsidRPr="008841DE" w:rsidRDefault="00931650"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18</w:t>
            </w:r>
          </w:p>
        </w:tc>
        <w:tc>
          <w:tcPr>
            <w:tcW w:w="2693" w:type="dxa"/>
            <w:noWrap/>
            <w:vAlign w:val="center"/>
          </w:tcPr>
          <w:p w:rsidR="008841DE" w:rsidRPr="005A36E4" w:rsidRDefault="00931650"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16</w:t>
            </w:r>
          </w:p>
        </w:tc>
        <w:tc>
          <w:tcPr>
            <w:tcW w:w="2410" w:type="dxa"/>
            <w:noWrap/>
            <w:vAlign w:val="center"/>
          </w:tcPr>
          <w:p w:rsidR="008841DE" w:rsidRPr="005A36E4" w:rsidRDefault="00931650"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44</w:t>
            </w:r>
          </w:p>
        </w:tc>
      </w:tr>
      <w:tr w:rsidR="00D20FD7" w:rsidRPr="00FD137E" w:rsidTr="008E6F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842B18" w:rsidRPr="004A6B47" w:rsidRDefault="00842B18" w:rsidP="00591965">
            <w:pPr>
              <w:pStyle w:val="ListParagraph"/>
              <w:numPr>
                <w:ilvl w:val="0"/>
                <w:numId w:val="1"/>
              </w:numPr>
              <w:jc w:val="center"/>
              <w:rPr>
                <w:rFonts w:eastAsia="Times New Roman" w:cs="Times New Roman"/>
                <w:b w:val="0"/>
                <w:color w:val="000000"/>
                <w:lang w:eastAsia="hr-HR"/>
              </w:rPr>
            </w:pPr>
          </w:p>
        </w:tc>
        <w:tc>
          <w:tcPr>
            <w:tcW w:w="5775" w:type="dxa"/>
            <w:vAlign w:val="center"/>
          </w:tcPr>
          <w:p w:rsidR="00842B18" w:rsidRPr="00842B18" w:rsidRDefault="00931650" w:rsidP="008E6FE6">
            <w:pPr>
              <w:contextualSpacing/>
              <w:cnfStyle w:val="000000100000" w:firstRow="0" w:lastRow="0" w:firstColumn="0" w:lastColumn="0" w:oddVBand="0" w:evenVBand="0" w:oddHBand="1" w:evenHBand="0" w:firstRowFirstColumn="0" w:firstRowLastColumn="0" w:lastRowFirstColumn="0" w:lastRowLastColumn="0"/>
              <w:rPr>
                <w:color w:val="auto"/>
              </w:rPr>
            </w:pPr>
            <w:r>
              <w:rPr>
                <w:color w:val="auto"/>
              </w:rPr>
              <w:t>Hrvatske šume</w:t>
            </w:r>
          </w:p>
        </w:tc>
        <w:tc>
          <w:tcPr>
            <w:tcW w:w="2410" w:type="dxa"/>
            <w:noWrap/>
            <w:vAlign w:val="center"/>
          </w:tcPr>
          <w:p w:rsidR="00842B18" w:rsidRPr="00842B18" w:rsidRDefault="00931650" w:rsidP="008E6FE6">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2</w:t>
            </w:r>
          </w:p>
        </w:tc>
        <w:tc>
          <w:tcPr>
            <w:tcW w:w="2693" w:type="dxa"/>
            <w:noWrap/>
            <w:vAlign w:val="center"/>
          </w:tcPr>
          <w:p w:rsidR="00842B18" w:rsidRPr="005A36E4" w:rsidRDefault="00931650"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33</w:t>
            </w:r>
          </w:p>
        </w:tc>
        <w:tc>
          <w:tcPr>
            <w:tcW w:w="2410" w:type="dxa"/>
            <w:noWrap/>
            <w:vAlign w:val="center"/>
          </w:tcPr>
          <w:p w:rsidR="00842B18" w:rsidRPr="005A36E4" w:rsidRDefault="00931650" w:rsidP="008E6FE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141</w:t>
            </w:r>
          </w:p>
        </w:tc>
      </w:tr>
      <w:tr w:rsidR="00D20FD7" w:rsidRPr="00931650" w:rsidTr="008E6FE6">
        <w:trPr>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931650" w:rsidRPr="00931650" w:rsidRDefault="00931650" w:rsidP="00591965">
            <w:pPr>
              <w:pStyle w:val="ListParagraph"/>
              <w:numPr>
                <w:ilvl w:val="0"/>
                <w:numId w:val="1"/>
              </w:numPr>
              <w:jc w:val="center"/>
              <w:rPr>
                <w:rFonts w:eastAsia="Times New Roman" w:cs="Times New Roman"/>
                <w:b w:val="0"/>
                <w:color w:val="auto"/>
                <w:lang w:eastAsia="hr-HR"/>
              </w:rPr>
            </w:pPr>
          </w:p>
        </w:tc>
        <w:tc>
          <w:tcPr>
            <w:tcW w:w="5775" w:type="dxa"/>
            <w:vAlign w:val="center"/>
          </w:tcPr>
          <w:p w:rsidR="00931650" w:rsidRPr="00931650" w:rsidRDefault="00931650" w:rsidP="008E6FE6">
            <w:pPr>
              <w:contextualSpacing/>
              <w:cnfStyle w:val="000000000000" w:firstRow="0" w:lastRow="0" w:firstColumn="0" w:lastColumn="0" w:oddVBand="0" w:evenVBand="0" w:oddHBand="0" w:evenHBand="0" w:firstRowFirstColumn="0" w:firstRowLastColumn="0" w:lastRowFirstColumn="0" w:lastRowLastColumn="0"/>
              <w:rPr>
                <w:color w:val="auto"/>
              </w:rPr>
            </w:pPr>
            <w:r w:rsidRPr="00931650">
              <w:rPr>
                <w:color w:val="auto"/>
              </w:rPr>
              <w:t>Hrvatski zavod za javno zdravstvo</w:t>
            </w:r>
          </w:p>
        </w:tc>
        <w:tc>
          <w:tcPr>
            <w:tcW w:w="2410" w:type="dxa"/>
            <w:noWrap/>
            <w:vAlign w:val="center"/>
          </w:tcPr>
          <w:p w:rsidR="00931650" w:rsidRPr="00931650" w:rsidRDefault="00931650" w:rsidP="008E6FE6">
            <w:pPr>
              <w:contextualSpacing/>
              <w:jc w:val="center"/>
              <w:cnfStyle w:val="000000000000" w:firstRow="0" w:lastRow="0" w:firstColumn="0" w:lastColumn="0" w:oddVBand="0" w:evenVBand="0" w:oddHBand="0" w:evenHBand="0" w:firstRowFirstColumn="0" w:firstRowLastColumn="0" w:lastRowFirstColumn="0" w:lastRowLastColumn="0"/>
              <w:rPr>
                <w:color w:val="auto"/>
              </w:rPr>
            </w:pPr>
            <w:r w:rsidRPr="00931650">
              <w:rPr>
                <w:color w:val="auto"/>
              </w:rPr>
              <w:t>2</w:t>
            </w:r>
          </w:p>
        </w:tc>
        <w:tc>
          <w:tcPr>
            <w:tcW w:w="2693" w:type="dxa"/>
            <w:noWrap/>
            <w:vAlign w:val="center"/>
          </w:tcPr>
          <w:p w:rsidR="00931650" w:rsidRPr="00931650" w:rsidRDefault="00931650"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sidRPr="00931650">
              <w:rPr>
                <w:rFonts w:eastAsia="Times New Roman" w:cs="Times New Roman"/>
                <w:bCs/>
                <w:color w:val="auto"/>
                <w:lang w:eastAsia="hr-HR"/>
              </w:rPr>
              <w:t>3</w:t>
            </w:r>
          </w:p>
        </w:tc>
        <w:tc>
          <w:tcPr>
            <w:tcW w:w="2410" w:type="dxa"/>
            <w:noWrap/>
            <w:vAlign w:val="center"/>
          </w:tcPr>
          <w:p w:rsidR="00931650" w:rsidRPr="00931650" w:rsidRDefault="00931650" w:rsidP="008E6FE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lang w:eastAsia="hr-HR"/>
              </w:rPr>
            </w:pPr>
            <w:r w:rsidRPr="00931650">
              <w:rPr>
                <w:rFonts w:eastAsia="Times New Roman" w:cs="Times New Roman"/>
                <w:bCs/>
                <w:color w:val="auto"/>
                <w:lang w:eastAsia="hr-HR"/>
              </w:rPr>
              <w:t>8</w:t>
            </w:r>
          </w:p>
        </w:tc>
      </w:tr>
      <w:tr w:rsidR="00D20FD7" w:rsidRPr="00FD137E" w:rsidTr="00F418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1" w:type="dxa"/>
            <w:vAlign w:val="center"/>
          </w:tcPr>
          <w:p w:rsidR="00AF5667" w:rsidRPr="00FD137E" w:rsidRDefault="00AF5667" w:rsidP="008E6FE6">
            <w:pPr>
              <w:rPr>
                <w:rFonts w:eastAsia="Times New Roman" w:cs="Times New Roman"/>
                <w:b w:val="0"/>
                <w:color w:val="000000"/>
                <w:highlight w:val="yellow"/>
                <w:lang w:eastAsia="hr-HR"/>
              </w:rPr>
            </w:pPr>
          </w:p>
        </w:tc>
        <w:tc>
          <w:tcPr>
            <w:tcW w:w="5775" w:type="dxa"/>
            <w:vAlign w:val="center"/>
            <w:hideMark/>
          </w:tcPr>
          <w:p w:rsidR="00AF5667" w:rsidRPr="009D54ED" w:rsidRDefault="00AF5667" w:rsidP="008E6FE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sidRPr="009D54ED">
              <w:rPr>
                <w:rFonts w:eastAsia="Times New Roman" w:cs="Times New Roman"/>
                <w:bCs/>
                <w:color w:val="auto"/>
                <w:lang w:eastAsia="hr-HR"/>
              </w:rPr>
              <w:t xml:space="preserve">UKUPNO: </w:t>
            </w:r>
          </w:p>
        </w:tc>
        <w:tc>
          <w:tcPr>
            <w:tcW w:w="2410" w:type="dxa"/>
            <w:noWrap/>
            <w:vAlign w:val="center"/>
          </w:tcPr>
          <w:p w:rsidR="00AF5667" w:rsidRPr="00EE051E" w:rsidRDefault="00AA0F63" w:rsidP="0097780D">
            <w:pPr>
              <w:contextualSpacing/>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822</w:t>
            </w:r>
          </w:p>
        </w:tc>
        <w:tc>
          <w:tcPr>
            <w:tcW w:w="2693" w:type="dxa"/>
            <w:noWrap/>
            <w:vAlign w:val="center"/>
          </w:tcPr>
          <w:p w:rsidR="00AF5667" w:rsidRPr="00EE051E" w:rsidRDefault="00AA0F63" w:rsidP="00CC089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72</w:t>
            </w:r>
            <w:r w:rsidR="000672E2">
              <w:rPr>
                <w:rFonts w:eastAsia="Times New Roman" w:cs="Times New Roman"/>
                <w:bCs/>
                <w:color w:val="auto"/>
                <w:lang w:eastAsia="hr-HR"/>
              </w:rPr>
              <w:t>23</w:t>
            </w:r>
          </w:p>
        </w:tc>
        <w:tc>
          <w:tcPr>
            <w:tcW w:w="2410" w:type="dxa"/>
            <w:noWrap/>
            <w:vAlign w:val="center"/>
          </w:tcPr>
          <w:p w:rsidR="00AF5667" w:rsidRPr="00EE051E" w:rsidRDefault="00AA0F63" w:rsidP="00566EB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lang w:eastAsia="hr-HR"/>
              </w:rPr>
            </w:pPr>
            <w:r>
              <w:rPr>
                <w:rFonts w:eastAsia="Times New Roman" w:cs="Times New Roman"/>
                <w:bCs/>
                <w:color w:val="auto"/>
                <w:lang w:eastAsia="hr-HR"/>
              </w:rPr>
              <w:t>199</w:t>
            </w:r>
            <w:r w:rsidR="000672E2">
              <w:rPr>
                <w:rFonts w:eastAsia="Times New Roman" w:cs="Times New Roman"/>
                <w:bCs/>
                <w:color w:val="auto"/>
                <w:lang w:eastAsia="hr-HR"/>
              </w:rPr>
              <w:t>9</w:t>
            </w:r>
            <w:r>
              <w:rPr>
                <w:rFonts w:eastAsia="Times New Roman" w:cs="Times New Roman"/>
                <w:bCs/>
                <w:color w:val="auto"/>
                <w:lang w:eastAsia="hr-HR"/>
              </w:rPr>
              <w:t>1</w:t>
            </w:r>
          </w:p>
        </w:tc>
      </w:tr>
    </w:tbl>
    <w:p w:rsidR="00FD6B5F" w:rsidRPr="00AB758C" w:rsidRDefault="00FD6B5F" w:rsidP="004A797C">
      <w:pPr>
        <w:rPr>
          <w:rFonts w:ascii="Cambria" w:hAnsi="Cambria"/>
          <w:sz w:val="24"/>
          <w:szCs w:val="24"/>
        </w:rPr>
      </w:pPr>
    </w:p>
    <w:sectPr w:rsidR="00FD6B5F" w:rsidRPr="00AB758C" w:rsidSect="003C22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563" w:rsidRDefault="006F3563" w:rsidP="00E905FC">
      <w:pPr>
        <w:spacing w:after="0" w:line="240" w:lineRule="auto"/>
      </w:pPr>
      <w:r>
        <w:separator/>
      </w:r>
    </w:p>
  </w:endnote>
  <w:endnote w:type="continuationSeparator" w:id="0">
    <w:p w:rsidR="006F3563" w:rsidRDefault="006F3563" w:rsidP="00E9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890408"/>
      <w:docPartObj>
        <w:docPartGallery w:val="Page Numbers (Bottom of Page)"/>
        <w:docPartUnique/>
      </w:docPartObj>
    </w:sdtPr>
    <w:sdtEndPr>
      <w:rPr>
        <w:noProof/>
      </w:rPr>
    </w:sdtEndPr>
    <w:sdtContent>
      <w:p w:rsidR="002F77C5" w:rsidRDefault="002F77C5">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2F77C5" w:rsidRPr="006F1B67" w:rsidRDefault="002F77C5" w:rsidP="00136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563" w:rsidRDefault="006F3563" w:rsidP="00E905FC">
      <w:pPr>
        <w:spacing w:after="0" w:line="240" w:lineRule="auto"/>
      </w:pPr>
      <w:r>
        <w:separator/>
      </w:r>
    </w:p>
  </w:footnote>
  <w:footnote w:type="continuationSeparator" w:id="0">
    <w:p w:rsidR="006F3563" w:rsidRDefault="006F3563" w:rsidP="00E905FC">
      <w:pPr>
        <w:spacing w:after="0" w:line="240" w:lineRule="auto"/>
      </w:pPr>
      <w:r>
        <w:continuationSeparator/>
      </w:r>
    </w:p>
  </w:footnote>
  <w:footnote w:id="1">
    <w:p w:rsidR="002F77C5" w:rsidRPr="00972A9E" w:rsidRDefault="002F77C5" w:rsidP="00CA2183">
      <w:pPr>
        <w:pStyle w:val="FootnoteText"/>
        <w:jc w:val="both"/>
        <w:rPr>
          <w:rFonts w:ascii="Cambria" w:hAnsi="Cambria"/>
        </w:rPr>
      </w:pPr>
      <w:r w:rsidRPr="000037B9">
        <w:rPr>
          <w:rStyle w:val="FootnoteReference"/>
        </w:rPr>
        <w:footnoteRef/>
      </w:r>
      <w:r w:rsidRPr="000037B9">
        <w:t xml:space="preserve"> </w:t>
      </w:r>
      <w:r w:rsidRPr="00972A9E">
        <w:rPr>
          <w:rFonts w:ascii="Cambria" w:hAnsi="Cambria"/>
        </w:rPr>
        <w:t xml:space="preserve">Podaci iz sustava e-Savjetovanja preuzeti su na dan </w:t>
      </w:r>
      <w:r w:rsidR="00475734">
        <w:rPr>
          <w:rFonts w:ascii="Cambria" w:hAnsi="Cambria"/>
        </w:rPr>
        <w:t>19. kolovoza</w:t>
      </w:r>
      <w:r>
        <w:rPr>
          <w:rFonts w:ascii="Cambria" w:hAnsi="Cambria"/>
        </w:rPr>
        <w:t xml:space="preserve"> 2024.</w:t>
      </w:r>
    </w:p>
  </w:footnote>
  <w:footnote w:id="2">
    <w:p w:rsidR="002F77C5" w:rsidRDefault="002F77C5" w:rsidP="00CA2183">
      <w:pPr>
        <w:pStyle w:val="FootnoteText"/>
        <w:jc w:val="both"/>
      </w:pPr>
      <w:r w:rsidRPr="00972A9E">
        <w:rPr>
          <w:rStyle w:val="FootnoteReference"/>
          <w:rFonts w:ascii="Cambria" w:hAnsi="Cambria"/>
        </w:rPr>
        <w:footnoteRef/>
      </w:r>
      <w:r w:rsidRPr="00972A9E">
        <w:rPr>
          <w:rFonts w:ascii="Cambria" w:hAnsi="Cambria"/>
        </w:rPr>
        <w:t xml:space="preserve"> Iako je sukladno Zakonu o pravu na pristup informacijama propisano da su tijela državne uprave dužna provoditi savjetovanja putem središnjeg portala za savjetovanja, to ne isključuje i dodatne metode savjetovanja poput, javnih rasprava, savjetodavnih skupova i slično, kada je to potrebno radi uključivanja što većeg broja pravnih i fizičkih osoba u postupak savjetovanja</w:t>
      </w:r>
      <w:r w:rsidRPr="000037B9">
        <w:t>.</w:t>
      </w:r>
      <w:r w:rsidR="005760C4">
        <w:t>.</w:t>
      </w:r>
    </w:p>
  </w:footnote>
  <w:footnote w:id="3">
    <w:p w:rsidR="002F77C5" w:rsidRDefault="002F77C5">
      <w:pPr>
        <w:pStyle w:val="FootnoteText"/>
      </w:pPr>
      <w:r>
        <w:rPr>
          <w:rStyle w:val="FootnoteReference"/>
        </w:rPr>
        <w:footnoteRef/>
      </w:r>
      <w:r>
        <w:t xml:space="preserve"> Podaci od 2019. – 2023. godine prikazuju broj savjetovanja </w:t>
      </w:r>
      <w:r w:rsidR="004B5004">
        <w:t xml:space="preserve">isključivo </w:t>
      </w:r>
      <w:r>
        <w:t xml:space="preserve">provedenih putem portala </w:t>
      </w:r>
      <w:r>
        <w:t>e-Savjetovanja.</w:t>
      </w:r>
    </w:p>
  </w:footnote>
  <w:footnote w:id="4">
    <w:p w:rsidR="000B1774" w:rsidRDefault="000B1774">
      <w:pPr>
        <w:pStyle w:val="FootnoteText"/>
      </w:pPr>
      <w:r>
        <w:t xml:space="preserve">Ukupni broj savjetovanja </w:t>
      </w:r>
      <w:r w:rsidR="007F4BEE">
        <w:t xml:space="preserve">u 2023. godini </w:t>
      </w:r>
      <w:r>
        <w:t>koji generira aplikacija je 822, no u navedenom zbroju nisu vidljivi oni akti procjene učinaka propisa (Obrasci prethodne procjene, Iskazi o procjeni učinaka propisa) koji su bili objavljeni kao prilog uz zakon za koji se objavljuje na savjetovanju,  što pojedina tijela primjenjuju u praksi.</w:t>
      </w:r>
    </w:p>
  </w:footnote>
  <w:footnote w:id="5">
    <w:p w:rsidR="002F77C5" w:rsidRPr="00972A9E" w:rsidRDefault="002F77C5">
      <w:pPr>
        <w:pStyle w:val="FootnoteText"/>
        <w:rPr>
          <w:rFonts w:ascii="Cambria" w:hAnsi="Cambria"/>
        </w:rPr>
      </w:pPr>
      <w:r>
        <w:rPr>
          <w:rStyle w:val="FootnoteReference"/>
        </w:rPr>
        <w:footnoteRef/>
      </w:r>
      <w:r>
        <w:t xml:space="preserve"> </w:t>
      </w:r>
      <w:r w:rsidRPr="00972A9E">
        <w:rPr>
          <w:rFonts w:ascii="Cambria" w:hAnsi="Cambria"/>
        </w:rPr>
        <w:t xml:space="preserve">Podaci se odnose samo na savjetovanja provedena u sustavu </w:t>
      </w:r>
      <w:r w:rsidRPr="00972A9E">
        <w:rPr>
          <w:rFonts w:ascii="Cambria" w:hAnsi="Cambria"/>
        </w:rPr>
        <w:t>e-Savjetovanja.</w:t>
      </w:r>
    </w:p>
  </w:footnote>
  <w:footnote w:id="6">
    <w:p w:rsidR="002334C2" w:rsidRDefault="002334C2">
      <w:pPr>
        <w:pStyle w:val="FootnoteText"/>
      </w:pPr>
      <w:r>
        <w:rPr>
          <w:rStyle w:val="FootnoteReference"/>
        </w:rPr>
        <w:footnoteRef/>
      </w:r>
      <w:r w:rsidR="007E11A0">
        <w:t xml:space="preserve"> Jedan korisnik može ostaviti i više komentara na savjetovanju stoga se </w:t>
      </w:r>
      <w:r w:rsidR="00DF24F7">
        <w:t>B</w:t>
      </w:r>
      <w:r w:rsidR="007E11A0">
        <w:t>roj osoba koje su komentirale razlikuje od ukupnog broja korisnika koji su sudjelovali u savjetovanjima (6.445)</w:t>
      </w:r>
      <w:r w:rsidR="00D10A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C5" w:rsidRDefault="002F77C5">
    <w:pPr>
      <w:pStyle w:val="Header"/>
      <w:jc w:val="center"/>
    </w:pPr>
  </w:p>
  <w:p w:rsidR="002F77C5" w:rsidRDefault="002F7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C5" w:rsidRDefault="002F77C5" w:rsidP="00E905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3214"/>
    <w:multiLevelType w:val="hybridMultilevel"/>
    <w:tmpl w:val="F7F65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81432FF"/>
    <w:multiLevelType w:val="hybridMultilevel"/>
    <w:tmpl w:val="5F6409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FC"/>
    <w:rsid w:val="000037B9"/>
    <w:rsid w:val="0000389D"/>
    <w:rsid w:val="00003C82"/>
    <w:rsid w:val="0001234B"/>
    <w:rsid w:val="00015400"/>
    <w:rsid w:val="0001584B"/>
    <w:rsid w:val="00016B55"/>
    <w:rsid w:val="00020BC1"/>
    <w:rsid w:val="0002235D"/>
    <w:rsid w:val="00024BCC"/>
    <w:rsid w:val="000303CE"/>
    <w:rsid w:val="000314DC"/>
    <w:rsid w:val="00031641"/>
    <w:rsid w:val="0003281C"/>
    <w:rsid w:val="00032DA0"/>
    <w:rsid w:val="000351F4"/>
    <w:rsid w:val="00036623"/>
    <w:rsid w:val="00045273"/>
    <w:rsid w:val="00045D1B"/>
    <w:rsid w:val="0005206E"/>
    <w:rsid w:val="00053B34"/>
    <w:rsid w:val="000672E2"/>
    <w:rsid w:val="000806A0"/>
    <w:rsid w:val="00093A1C"/>
    <w:rsid w:val="000A0DB8"/>
    <w:rsid w:val="000B02C2"/>
    <w:rsid w:val="000B1774"/>
    <w:rsid w:val="000B4AB7"/>
    <w:rsid w:val="000B56DC"/>
    <w:rsid w:val="000C1C6D"/>
    <w:rsid w:val="000C620B"/>
    <w:rsid w:val="000C699D"/>
    <w:rsid w:val="000D1C81"/>
    <w:rsid w:val="000D4DC8"/>
    <w:rsid w:val="000E1E09"/>
    <w:rsid w:val="000E47D2"/>
    <w:rsid w:val="000E7087"/>
    <w:rsid w:val="00100AA0"/>
    <w:rsid w:val="00100F29"/>
    <w:rsid w:val="00116FBC"/>
    <w:rsid w:val="00123702"/>
    <w:rsid w:val="0012496F"/>
    <w:rsid w:val="001309CA"/>
    <w:rsid w:val="00133CB1"/>
    <w:rsid w:val="001362A5"/>
    <w:rsid w:val="00144A8E"/>
    <w:rsid w:val="001452EE"/>
    <w:rsid w:val="00145773"/>
    <w:rsid w:val="0015044D"/>
    <w:rsid w:val="00157E52"/>
    <w:rsid w:val="00163F33"/>
    <w:rsid w:val="00165913"/>
    <w:rsid w:val="00167594"/>
    <w:rsid w:val="00170478"/>
    <w:rsid w:val="00174C7D"/>
    <w:rsid w:val="00181D63"/>
    <w:rsid w:val="001830ED"/>
    <w:rsid w:val="00183655"/>
    <w:rsid w:val="001A1509"/>
    <w:rsid w:val="001A5437"/>
    <w:rsid w:val="001B67B3"/>
    <w:rsid w:val="001C20D5"/>
    <w:rsid w:val="001C2DA4"/>
    <w:rsid w:val="001D581E"/>
    <w:rsid w:val="001D6812"/>
    <w:rsid w:val="001D7878"/>
    <w:rsid w:val="001E2682"/>
    <w:rsid w:val="001E352A"/>
    <w:rsid w:val="001E535A"/>
    <w:rsid w:val="001F013E"/>
    <w:rsid w:val="001F4F88"/>
    <w:rsid w:val="001F5DA6"/>
    <w:rsid w:val="0020585E"/>
    <w:rsid w:val="002071B9"/>
    <w:rsid w:val="0021729A"/>
    <w:rsid w:val="00220E77"/>
    <w:rsid w:val="00225787"/>
    <w:rsid w:val="002334C2"/>
    <w:rsid w:val="00240476"/>
    <w:rsid w:val="002424F2"/>
    <w:rsid w:val="0024481D"/>
    <w:rsid w:val="00247A95"/>
    <w:rsid w:val="00251049"/>
    <w:rsid w:val="00252CFA"/>
    <w:rsid w:val="002541F2"/>
    <w:rsid w:val="00254F82"/>
    <w:rsid w:val="00257981"/>
    <w:rsid w:val="00261975"/>
    <w:rsid w:val="0026259B"/>
    <w:rsid w:val="002651FD"/>
    <w:rsid w:val="00275E37"/>
    <w:rsid w:val="00280186"/>
    <w:rsid w:val="00282EC1"/>
    <w:rsid w:val="0029058F"/>
    <w:rsid w:val="00292819"/>
    <w:rsid w:val="00294317"/>
    <w:rsid w:val="00297DE0"/>
    <w:rsid w:val="002A13BF"/>
    <w:rsid w:val="002A62E2"/>
    <w:rsid w:val="002B123B"/>
    <w:rsid w:val="002B256D"/>
    <w:rsid w:val="002C07E1"/>
    <w:rsid w:val="002C101F"/>
    <w:rsid w:val="002C1D70"/>
    <w:rsid w:val="002C2DBD"/>
    <w:rsid w:val="002E1EF7"/>
    <w:rsid w:val="002F0417"/>
    <w:rsid w:val="002F77C5"/>
    <w:rsid w:val="003017F1"/>
    <w:rsid w:val="003018FD"/>
    <w:rsid w:val="0030201D"/>
    <w:rsid w:val="003136AF"/>
    <w:rsid w:val="00313AD2"/>
    <w:rsid w:val="00325C1B"/>
    <w:rsid w:val="00325E64"/>
    <w:rsid w:val="0033096D"/>
    <w:rsid w:val="00333133"/>
    <w:rsid w:val="00344060"/>
    <w:rsid w:val="003525C7"/>
    <w:rsid w:val="00353222"/>
    <w:rsid w:val="0035438B"/>
    <w:rsid w:val="00361B50"/>
    <w:rsid w:val="00362B8B"/>
    <w:rsid w:val="0036575F"/>
    <w:rsid w:val="00366BBD"/>
    <w:rsid w:val="0038521F"/>
    <w:rsid w:val="00386EF9"/>
    <w:rsid w:val="00393BA4"/>
    <w:rsid w:val="003A0940"/>
    <w:rsid w:val="003A3F36"/>
    <w:rsid w:val="003B0B3F"/>
    <w:rsid w:val="003B37CA"/>
    <w:rsid w:val="003C2217"/>
    <w:rsid w:val="003D0115"/>
    <w:rsid w:val="003E3A37"/>
    <w:rsid w:val="003E5D0C"/>
    <w:rsid w:val="003F13A9"/>
    <w:rsid w:val="003F5E7A"/>
    <w:rsid w:val="0040014A"/>
    <w:rsid w:val="00402BD1"/>
    <w:rsid w:val="00403E87"/>
    <w:rsid w:val="0041015B"/>
    <w:rsid w:val="0041187A"/>
    <w:rsid w:val="00411F9F"/>
    <w:rsid w:val="00420D82"/>
    <w:rsid w:val="00421198"/>
    <w:rsid w:val="00421D36"/>
    <w:rsid w:val="00421D6F"/>
    <w:rsid w:val="004362C9"/>
    <w:rsid w:val="00437E99"/>
    <w:rsid w:val="00441766"/>
    <w:rsid w:val="00441E98"/>
    <w:rsid w:val="00443C57"/>
    <w:rsid w:val="004470D8"/>
    <w:rsid w:val="00450E22"/>
    <w:rsid w:val="00454A4F"/>
    <w:rsid w:val="004575EE"/>
    <w:rsid w:val="00457769"/>
    <w:rsid w:val="00460A75"/>
    <w:rsid w:val="0046151F"/>
    <w:rsid w:val="00463292"/>
    <w:rsid w:val="0046680F"/>
    <w:rsid w:val="004670C1"/>
    <w:rsid w:val="00470A89"/>
    <w:rsid w:val="00471460"/>
    <w:rsid w:val="004727BD"/>
    <w:rsid w:val="00474882"/>
    <w:rsid w:val="00475734"/>
    <w:rsid w:val="00480A92"/>
    <w:rsid w:val="00481436"/>
    <w:rsid w:val="00483F38"/>
    <w:rsid w:val="004851B6"/>
    <w:rsid w:val="00485592"/>
    <w:rsid w:val="00486368"/>
    <w:rsid w:val="00491CEF"/>
    <w:rsid w:val="00492D25"/>
    <w:rsid w:val="004A3B4C"/>
    <w:rsid w:val="004A418B"/>
    <w:rsid w:val="004A6B47"/>
    <w:rsid w:val="004A797C"/>
    <w:rsid w:val="004B5004"/>
    <w:rsid w:val="004B76DE"/>
    <w:rsid w:val="004D08A7"/>
    <w:rsid w:val="004D489D"/>
    <w:rsid w:val="004E5DEF"/>
    <w:rsid w:val="004E71D2"/>
    <w:rsid w:val="004E71DC"/>
    <w:rsid w:val="004F242A"/>
    <w:rsid w:val="004F6D77"/>
    <w:rsid w:val="00500D11"/>
    <w:rsid w:val="005068B8"/>
    <w:rsid w:val="00510241"/>
    <w:rsid w:val="00512F7D"/>
    <w:rsid w:val="00515103"/>
    <w:rsid w:val="00517823"/>
    <w:rsid w:val="00535BBC"/>
    <w:rsid w:val="005413E3"/>
    <w:rsid w:val="0054381A"/>
    <w:rsid w:val="00547642"/>
    <w:rsid w:val="005500A8"/>
    <w:rsid w:val="0055060C"/>
    <w:rsid w:val="005552EB"/>
    <w:rsid w:val="00556525"/>
    <w:rsid w:val="005610F4"/>
    <w:rsid w:val="00563410"/>
    <w:rsid w:val="00563EB6"/>
    <w:rsid w:val="00566EB1"/>
    <w:rsid w:val="005760C4"/>
    <w:rsid w:val="0058035C"/>
    <w:rsid w:val="00581E88"/>
    <w:rsid w:val="0058376F"/>
    <w:rsid w:val="00584302"/>
    <w:rsid w:val="0058579F"/>
    <w:rsid w:val="00587725"/>
    <w:rsid w:val="00591965"/>
    <w:rsid w:val="005A36E4"/>
    <w:rsid w:val="005A3B63"/>
    <w:rsid w:val="005B3F93"/>
    <w:rsid w:val="005B630C"/>
    <w:rsid w:val="005C2B7D"/>
    <w:rsid w:val="005C5839"/>
    <w:rsid w:val="005C668D"/>
    <w:rsid w:val="005D45BE"/>
    <w:rsid w:val="005D4B3F"/>
    <w:rsid w:val="005E1162"/>
    <w:rsid w:val="005E1548"/>
    <w:rsid w:val="005E366D"/>
    <w:rsid w:val="005F0C6F"/>
    <w:rsid w:val="005F14A4"/>
    <w:rsid w:val="0060497E"/>
    <w:rsid w:val="006051E6"/>
    <w:rsid w:val="0061026D"/>
    <w:rsid w:val="00614866"/>
    <w:rsid w:val="00621901"/>
    <w:rsid w:val="006221A0"/>
    <w:rsid w:val="006260BC"/>
    <w:rsid w:val="006338BD"/>
    <w:rsid w:val="006366EC"/>
    <w:rsid w:val="00643C7D"/>
    <w:rsid w:val="00644255"/>
    <w:rsid w:val="00650040"/>
    <w:rsid w:val="00652865"/>
    <w:rsid w:val="00652908"/>
    <w:rsid w:val="006532A7"/>
    <w:rsid w:val="00656983"/>
    <w:rsid w:val="00660D63"/>
    <w:rsid w:val="006625FB"/>
    <w:rsid w:val="006721FD"/>
    <w:rsid w:val="00672C9A"/>
    <w:rsid w:val="00680102"/>
    <w:rsid w:val="0068210F"/>
    <w:rsid w:val="00685F17"/>
    <w:rsid w:val="00690F17"/>
    <w:rsid w:val="00691600"/>
    <w:rsid w:val="00695C91"/>
    <w:rsid w:val="00696351"/>
    <w:rsid w:val="006A32D9"/>
    <w:rsid w:val="006A577D"/>
    <w:rsid w:val="006A5C7B"/>
    <w:rsid w:val="006A7AA1"/>
    <w:rsid w:val="006B0926"/>
    <w:rsid w:val="006B2424"/>
    <w:rsid w:val="006B3FED"/>
    <w:rsid w:val="006C71E2"/>
    <w:rsid w:val="006D678B"/>
    <w:rsid w:val="006E0C81"/>
    <w:rsid w:val="006E564B"/>
    <w:rsid w:val="006E57B0"/>
    <w:rsid w:val="006F25B8"/>
    <w:rsid w:val="006F2D26"/>
    <w:rsid w:val="006F3563"/>
    <w:rsid w:val="006F3AEB"/>
    <w:rsid w:val="006F43A5"/>
    <w:rsid w:val="006F474E"/>
    <w:rsid w:val="006F5B93"/>
    <w:rsid w:val="007002BC"/>
    <w:rsid w:val="00706C9B"/>
    <w:rsid w:val="0071373D"/>
    <w:rsid w:val="00717E01"/>
    <w:rsid w:val="007215E6"/>
    <w:rsid w:val="0073118D"/>
    <w:rsid w:val="00737B2A"/>
    <w:rsid w:val="007446CF"/>
    <w:rsid w:val="007460F6"/>
    <w:rsid w:val="007542DF"/>
    <w:rsid w:val="007616D3"/>
    <w:rsid w:val="00762EBE"/>
    <w:rsid w:val="00763061"/>
    <w:rsid w:val="00765768"/>
    <w:rsid w:val="00770E9C"/>
    <w:rsid w:val="007764BC"/>
    <w:rsid w:val="00784A80"/>
    <w:rsid w:val="007926D1"/>
    <w:rsid w:val="007934E1"/>
    <w:rsid w:val="0079443E"/>
    <w:rsid w:val="0079538D"/>
    <w:rsid w:val="007965B4"/>
    <w:rsid w:val="007A1B69"/>
    <w:rsid w:val="007A33A0"/>
    <w:rsid w:val="007A39C7"/>
    <w:rsid w:val="007A4568"/>
    <w:rsid w:val="007A56B0"/>
    <w:rsid w:val="007B186D"/>
    <w:rsid w:val="007B7EAE"/>
    <w:rsid w:val="007C0B87"/>
    <w:rsid w:val="007C2CCC"/>
    <w:rsid w:val="007D522B"/>
    <w:rsid w:val="007D7796"/>
    <w:rsid w:val="007D7B77"/>
    <w:rsid w:val="007E10CD"/>
    <w:rsid w:val="007E11A0"/>
    <w:rsid w:val="007E5F52"/>
    <w:rsid w:val="007F1E6C"/>
    <w:rsid w:val="007F4BEE"/>
    <w:rsid w:val="007F55C4"/>
    <w:rsid w:val="007F5755"/>
    <w:rsid w:val="008028F8"/>
    <w:rsid w:val="00805528"/>
    <w:rsid w:val="00810C22"/>
    <w:rsid w:val="00811D7A"/>
    <w:rsid w:val="00822529"/>
    <w:rsid w:val="00822B33"/>
    <w:rsid w:val="0083365D"/>
    <w:rsid w:val="00842B18"/>
    <w:rsid w:val="00847780"/>
    <w:rsid w:val="00852C9C"/>
    <w:rsid w:val="0085563B"/>
    <w:rsid w:val="00861E9B"/>
    <w:rsid w:val="00865172"/>
    <w:rsid w:val="00866CD7"/>
    <w:rsid w:val="00871385"/>
    <w:rsid w:val="00881352"/>
    <w:rsid w:val="008841DE"/>
    <w:rsid w:val="00890629"/>
    <w:rsid w:val="00892C4B"/>
    <w:rsid w:val="00895203"/>
    <w:rsid w:val="008A1AEF"/>
    <w:rsid w:val="008A33C8"/>
    <w:rsid w:val="008A58CB"/>
    <w:rsid w:val="008A595F"/>
    <w:rsid w:val="008C2344"/>
    <w:rsid w:val="008C401F"/>
    <w:rsid w:val="008C4D21"/>
    <w:rsid w:val="008D373C"/>
    <w:rsid w:val="008E32F9"/>
    <w:rsid w:val="008E3662"/>
    <w:rsid w:val="008E6FE6"/>
    <w:rsid w:val="008F20CB"/>
    <w:rsid w:val="008F5BEE"/>
    <w:rsid w:val="00901C4A"/>
    <w:rsid w:val="00902007"/>
    <w:rsid w:val="00910E59"/>
    <w:rsid w:val="00916CAD"/>
    <w:rsid w:val="00926606"/>
    <w:rsid w:val="00931650"/>
    <w:rsid w:val="00931B04"/>
    <w:rsid w:val="0093354A"/>
    <w:rsid w:val="009353A9"/>
    <w:rsid w:val="009456C0"/>
    <w:rsid w:val="00946193"/>
    <w:rsid w:val="009527CC"/>
    <w:rsid w:val="009538F0"/>
    <w:rsid w:val="0095594D"/>
    <w:rsid w:val="00962013"/>
    <w:rsid w:val="00963B4E"/>
    <w:rsid w:val="00965472"/>
    <w:rsid w:val="00972A9E"/>
    <w:rsid w:val="00973F4F"/>
    <w:rsid w:val="00974E39"/>
    <w:rsid w:val="0097780D"/>
    <w:rsid w:val="009840C0"/>
    <w:rsid w:val="009876F1"/>
    <w:rsid w:val="009942D2"/>
    <w:rsid w:val="009963C7"/>
    <w:rsid w:val="009969E5"/>
    <w:rsid w:val="009A1487"/>
    <w:rsid w:val="009A3F4E"/>
    <w:rsid w:val="009A4910"/>
    <w:rsid w:val="009B1108"/>
    <w:rsid w:val="009B77F8"/>
    <w:rsid w:val="009E26AC"/>
    <w:rsid w:val="009E2E38"/>
    <w:rsid w:val="009E4FA3"/>
    <w:rsid w:val="009F5494"/>
    <w:rsid w:val="009F54FF"/>
    <w:rsid w:val="009F751B"/>
    <w:rsid w:val="009F774D"/>
    <w:rsid w:val="00A03242"/>
    <w:rsid w:val="00A0699A"/>
    <w:rsid w:val="00A12A33"/>
    <w:rsid w:val="00A1351C"/>
    <w:rsid w:val="00A14564"/>
    <w:rsid w:val="00A17532"/>
    <w:rsid w:val="00A17EBD"/>
    <w:rsid w:val="00A22899"/>
    <w:rsid w:val="00A2741F"/>
    <w:rsid w:val="00A27695"/>
    <w:rsid w:val="00A30A11"/>
    <w:rsid w:val="00A3639F"/>
    <w:rsid w:val="00A446B7"/>
    <w:rsid w:val="00A530CA"/>
    <w:rsid w:val="00A61CF3"/>
    <w:rsid w:val="00A61EEA"/>
    <w:rsid w:val="00A62F1C"/>
    <w:rsid w:val="00A6306B"/>
    <w:rsid w:val="00A633C8"/>
    <w:rsid w:val="00A753D1"/>
    <w:rsid w:val="00A824B9"/>
    <w:rsid w:val="00A837D6"/>
    <w:rsid w:val="00A86878"/>
    <w:rsid w:val="00A910AC"/>
    <w:rsid w:val="00A9155C"/>
    <w:rsid w:val="00A92119"/>
    <w:rsid w:val="00A95946"/>
    <w:rsid w:val="00AA0F63"/>
    <w:rsid w:val="00AA1CCB"/>
    <w:rsid w:val="00AA432E"/>
    <w:rsid w:val="00AA45CC"/>
    <w:rsid w:val="00AA50E7"/>
    <w:rsid w:val="00AB1113"/>
    <w:rsid w:val="00AB3794"/>
    <w:rsid w:val="00AB5998"/>
    <w:rsid w:val="00AB758C"/>
    <w:rsid w:val="00AC2DC2"/>
    <w:rsid w:val="00AC4821"/>
    <w:rsid w:val="00AC6B03"/>
    <w:rsid w:val="00AD38CF"/>
    <w:rsid w:val="00AE03C4"/>
    <w:rsid w:val="00AE0891"/>
    <w:rsid w:val="00AE6E2C"/>
    <w:rsid w:val="00AF10C1"/>
    <w:rsid w:val="00AF5656"/>
    <w:rsid w:val="00AF5667"/>
    <w:rsid w:val="00AF6922"/>
    <w:rsid w:val="00AF75B7"/>
    <w:rsid w:val="00B013E1"/>
    <w:rsid w:val="00B0592A"/>
    <w:rsid w:val="00B21DD2"/>
    <w:rsid w:val="00B2699C"/>
    <w:rsid w:val="00B50F69"/>
    <w:rsid w:val="00B70D8D"/>
    <w:rsid w:val="00B73660"/>
    <w:rsid w:val="00B856AD"/>
    <w:rsid w:val="00B87B91"/>
    <w:rsid w:val="00B92A63"/>
    <w:rsid w:val="00B946A0"/>
    <w:rsid w:val="00BA1CE0"/>
    <w:rsid w:val="00BB16D0"/>
    <w:rsid w:val="00BB5EDD"/>
    <w:rsid w:val="00BB6483"/>
    <w:rsid w:val="00BC0FED"/>
    <w:rsid w:val="00BC224E"/>
    <w:rsid w:val="00BC2DAF"/>
    <w:rsid w:val="00BD0B32"/>
    <w:rsid w:val="00BE1378"/>
    <w:rsid w:val="00BE5093"/>
    <w:rsid w:val="00BE5771"/>
    <w:rsid w:val="00BF17B9"/>
    <w:rsid w:val="00BF2A18"/>
    <w:rsid w:val="00BF6052"/>
    <w:rsid w:val="00BF7776"/>
    <w:rsid w:val="00C00D4A"/>
    <w:rsid w:val="00C06EFA"/>
    <w:rsid w:val="00C07DFF"/>
    <w:rsid w:val="00C101C4"/>
    <w:rsid w:val="00C134E7"/>
    <w:rsid w:val="00C227B0"/>
    <w:rsid w:val="00C23E53"/>
    <w:rsid w:val="00C259E6"/>
    <w:rsid w:val="00C26553"/>
    <w:rsid w:val="00C305BC"/>
    <w:rsid w:val="00C41089"/>
    <w:rsid w:val="00C415A1"/>
    <w:rsid w:val="00C43A01"/>
    <w:rsid w:val="00C449AC"/>
    <w:rsid w:val="00C532E6"/>
    <w:rsid w:val="00C539DF"/>
    <w:rsid w:val="00C570E6"/>
    <w:rsid w:val="00C610C8"/>
    <w:rsid w:val="00C70FDB"/>
    <w:rsid w:val="00C73876"/>
    <w:rsid w:val="00C80244"/>
    <w:rsid w:val="00C86075"/>
    <w:rsid w:val="00C90731"/>
    <w:rsid w:val="00C929D2"/>
    <w:rsid w:val="00C952FD"/>
    <w:rsid w:val="00C960D3"/>
    <w:rsid w:val="00CA0BE3"/>
    <w:rsid w:val="00CA2183"/>
    <w:rsid w:val="00CA7C5A"/>
    <w:rsid w:val="00CB21ED"/>
    <w:rsid w:val="00CC0897"/>
    <w:rsid w:val="00CC0FC5"/>
    <w:rsid w:val="00CC45E7"/>
    <w:rsid w:val="00CE6FE9"/>
    <w:rsid w:val="00D02549"/>
    <w:rsid w:val="00D03487"/>
    <w:rsid w:val="00D04FEC"/>
    <w:rsid w:val="00D10A69"/>
    <w:rsid w:val="00D134E0"/>
    <w:rsid w:val="00D13B15"/>
    <w:rsid w:val="00D20FD7"/>
    <w:rsid w:val="00D238F8"/>
    <w:rsid w:val="00D2401A"/>
    <w:rsid w:val="00D3616E"/>
    <w:rsid w:val="00D370DE"/>
    <w:rsid w:val="00D4146F"/>
    <w:rsid w:val="00D41A44"/>
    <w:rsid w:val="00D638A2"/>
    <w:rsid w:val="00D64A5F"/>
    <w:rsid w:val="00D662E9"/>
    <w:rsid w:val="00D7027C"/>
    <w:rsid w:val="00D71AED"/>
    <w:rsid w:val="00D71C98"/>
    <w:rsid w:val="00D75187"/>
    <w:rsid w:val="00D85EDF"/>
    <w:rsid w:val="00D93272"/>
    <w:rsid w:val="00D9419F"/>
    <w:rsid w:val="00D94F06"/>
    <w:rsid w:val="00D952A0"/>
    <w:rsid w:val="00D96D9A"/>
    <w:rsid w:val="00DA242B"/>
    <w:rsid w:val="00DA33C0"/>
    <w:rsid w:val="00DA7317"/>
    <w:rsid w:val="00DB7238"/>
    <w:rsid w:val="00DB7250"/>
    <w:rsid w:val="00DC4DDE"/>
    <w:rsid w:val="00DC69FD"/>
    <w:rsid w:val="00DC6B55"/>
    <w:rsid w:val="00DD060D"/>
    <w:rsid w:val="00DD6FEF"/>
    <w:rsid w:val="00DE09D3"/>
    <w:rsid w:val="00DE2CD4"/>
    <w:rsid w:val="00DE31CA"/>
    <w:rsid w:val="00DE7194"/>
    <w:rsid w:val="00DF24F7"/>
    <w:rsid w:val="00DF2E41"/>
    <w:rsid w:val="00DF50CC"/>
    <w:rsid w:val="00DF777D"/>
    <w:rsid w:val="00E016E7"/>
    <w:rsid w:val="00E05E60"/>
    <w:rsid w:val="00E06E14"/>
    <w:rsid w:val="00E105BF"/>
    <w:rsid w:val="00E1416D"/>
    <w:rsid w:val="00E23922"/>
    <w:rsid w:val="00E24EC5"/>
    <w:rsid w:val="00E26CE3"/>
    <w:rsid w:val="00E2707D"/>
    <w:rsid w:val="00E31D72"/>
    <w:rsid w:val="00E43BF0"/>
    <w:rsid w:val="00E52927"/>
    <w:rsid w:val="00E561DF"/>
    <w:rsid w:val="00E650B4"/>
    <w:rsid w:val="00E65188"/>
    <w:rsid w:val="00E65396"/>
    <w:rsid w:val="00E676EF"/>
    <w:rsid w:val="00E70E3C"/>
    <w:rsid w:val="00E7629A"/>
    <w:rsid w:val="00E905FC"/>
    <w:rsid w:val="00E94792"/>
    <w:rsid w:val="00E97733"/>
    <w:rsid w:val="00EA0354"/>
    <w:rsid w:val="00EA4AFA"/>
    <w:rsid w:val="00EA5EE7"/>
    <w:rsid w:val="00EA6221"/>
    <w:rsid w:val="00EB0DA6"/>
    <w:rsid w:val="00EB4EBC"/>
    <w:rsid w:val="00EB7BE2"/>
    <w:rsid w:val="00EC220C"/>
    <w:rsid w:val="00EC5286"/>
    <w:rsid w:val="00EC70B8"/>
    <w:rsid w:val="00ED0008"/>
    <w:rsid w:val="00ED4C46"/>
    <w:rsid w:val="00ED7888"/>
    <w:rsid w:val="00EE1905"/>
    <w:rsid w:val="00EE275B"/>
    <w:rsid w:val="00EE4B10"/>
    <w:rsid w:val="00EE7467"/>
    <w:rsid w:val="00F00C70"/>
    <w:rsid w:val="00F01225"/>
    <w:rsid w:val="00F021CF"/>
    <w:rsid w:val="00F069B4"/>
    <w:rsid w:val="00F15746"/>
    <w:rsid w:val="00F2120F"/>
    <w:rsid w:val="00F2354D"/>
    <w:rsid w:val="00F242FE"/>
    <w:rsid w:val="00F25D43"/>
    <w:rsid w:val="00F27FDD"/>
    <w:rsid w:val="00F326E6"/>
    <w:rsid w:val="00F36D88"/>
    <w:rsid w:val="00F4175F"/>
    <w:rsid w:val="00F418A6"/>
    <w:rsid w:val="00F41BE3"/>
    <w:rsid w:val="00F42C8E"/>
    <w:rsid w:val="00F434EC"/>
    <w:rsid w:val="00F52C47"/>
    <w:rsid w:val="00F5649E"/>
    <w:rsid w:val="00F620DB"/>
    <w:rsid w:val="00F705B0"/>
    <w:rsid w:val="00F809F5"/>
    <w:rsid w:val="00F82938"/>
    <w:rsid w:val="00F83303"/>
    <w:rsid w:val="00F83A07"/>
    <w:rsid w:val="00F84999"/>
    <w:rsid w:val="00F84F9A"/>
    <w:rsid w:val="00F91ADA"/>
    <w:rsid w:val="00F92F7A"/>
    <w:rsid w:val="00F95BD7"/>
    <w:rsid w:val="00F97589"/>
    <w:rsid w:val="00FA2BD5"/>
    <w:rsid w:val="00FA6D6B"/>
    <w:rsid w:val="00FB0D46"/>
    <w:rsid w:val="00FC6B75"/>
    <w:rsid w:val="00FD137E"/>
    <w:rsid w:val="00FD6B5F"/>
    <w:rsid w:val="00FF25AC"/>
    <w:rsid w:val="00FF34AC"/>
    <w:rsid w:val="00FF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CD572-4A69-4D78-A468-4C1F07A6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80F"/>
    <w:rPr>
      <w:lang w:val="hr-HR"/>
    </w:rPr>
  </w:style>
  <w:style w:type="paragraph" w:styleId="Heading1">
    <w:name w:val="heading 1"/>
    <w:basedOn w:val="Normal"/>
    <w:next w:val="Normal"/>
    <w:link w:val="Heading1Char"/>
    <w:uiPriority w:val="9"/>
    <w:qFormat/>
    <w:rsid w:val="000154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54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0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FC"/>
    <w:rPr>
      <w:lang w:val="hr-HR"/>
    </w:rPr>
  </w:style>
  <w:style w:type="paragraph" w:styleId="Header">
    <w:name w:val="header"/>
    <w:basedOn w:val="Normal"/>
    <w:link w:val="HeaderChar"/>
    <w:uiPriority w:val="99"/>
    <w:unhideWhenUsed/>
    <w:rsid w:val="00E90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FC"/>
    <w:rPr>
      <w:lang w:val="hr-HR"/>
    </w:rPr>
  </w:style>
  <w:style w:type="character" w:styleId="Hyperlink">
    <w:name w:val="Hyperlink"/>
    <w:basedOn w:val="DefaultParagraphFont"/>
    <w:uiPriority w:val="99"/>
    <w:unhideWhenUsed/>
    <w:rsid w:val="00717E01"/>
    <w:rPr>
      <w:color w:val="0563C1" w:themeColor="hyperlink"/>
      <w:u w:val="single"/>
    </w:rPr>
  </w:style>
  <w:style w:type="table" w:styleId="GridTable6Colorful-Accent1">
    <w:name w:val="Grid Table 6 Colorful Accent 1"/>
    <w:basedOn w:val="TableNormal"/>
    <w:uiPriority w:val="51"/>
    <w:rsid w:val="00F41BE3"/>
    <w:pPr>
      <w:spacing w:after="0" w:line="240" w:lineRule="auto"/>
    </w:pPr>
    <w:rPr>
      <w:color w:val="2E74B5" w:themeColor="accent1" w:themeShade="BF"/>
      <w:lang w:val="hr-H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3C22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2217"/>
    <w:rPr>
      <w:sz w:val="20"/>
      <w:szCs w:val="20"/>
      <w:lang w:val="hr-HR"/>
    </w:rPr>
  </w:style>
  <w:style w:type="character" w:styleId="FootnoteReference">
    <w:name w:val="footnote reference"/>
    <w:basedOn w:val="DefaultParagraphFont"/>
    <w:uiPriority w:val="99"/>
    <w:semiHidden/>
    <w:unhideWhenUsed/>
    <w:rsid w:val="003C2217"/>
    <w:rPr>
      <w:vertAlign w:val="superscript"/>
    </w:rPr>
  </w:style>
  <w:style w:type="table" w:styleId="GridTable4-Accent1">
    <w:name w:val="Grid Table 4 Accent 1"/>
    <w:basedOn w:val="TableNormal"/>
    <w:uiPriority w:val="49"/>
    <w:rsid w:val="005E366D"/>
    <w:pPr>
      <w:spacing w:after="0" w:line="240" w:lineRule="auto"/>
    </w:pPr>
    <w:rPr>
      <w:rFonts w:ascii="Calibri" w:eastAsia="Calibri" w:hAnsi="Calibri" w:cs="Times New Roma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015400"/>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rsid w:val="00015400"/>
    <w:rPr>
      <w:rFonts w:asciiTheme="majorHAnsi" w:eastAsiaTheme="majorEastAsia" w:hAnsiTheme="majorHAnsi" w:cstheme="majorBidi"/>
      <w:color w:val="2E74B5" w:themeColor="accent1" w:themeShade="BF"/>
      <w:sz w:val="26"/>
      <w:szCs w:val="26"/>
      <w:lang w:val="hr-HR"/>
    </w:rPr>
  </w:style>
  <w:style w:type="paragraph" w:styleId="TOCHeading">
    <w:name w:val="TOC Heading"/>
    <w:basedOn w:val="Heading1"/>
    <w:next w:val="Normal"/>
    <w:uiPriority w:val="39"/>
    <w:unhideWhenUsed/>
    <w:qFormat/>
    <w:rsid w:val="005C2B7D"/>
    <w:pPr>
      <w:outlineLvl w:val="9"/>
    </w:pPr>
    <w:rPr>
      <w:lang w:val="en-US"/>
    </w:rPr>
  </w:style>
  <w:style w:type="paragraph" w:styleId="TOC1">
    <w:name w:val="toc 1"/>
    <w:basedOn w:val="Normal"/>
    <w:next w:val="Normal"/>
    <w:autoRedefine/>
    <w:uiPriority w:val="39"/>
    <w:unhideWhenUsed/>
    <w:rsid w:val="005C2B7D"/>
    <w:pPr>
      <w:spacing w:after="100"/>
    </w:pPr>
  </w:style>
  <w:style w:type="paragraph" w:styleId="TOC2">
    <w:name w:val="toc 2"/>
    <w:basedOn w:val="Normal"/>
    <w:next w:val="Normal"/>
    <w:autoRedefine/>
    <w:uiPriority w:val="39"/>
    <w:unhideWhenUsed/>
    <w:rsid w:val="005C2B7D"/>
    <w:pPr>
      <w:spacing w:after="100"/>
      <w:ind w:left="220"/>
    </w:pPr>
  </w:style>
  <w:style w:type="character" w:styleId="CommentReference">
    <w:name w:val="annotation reference"/>
    <w:basedOn w:val="DefaultParagraphFont"/>
    <w:uiPriority w:val="99"/>
    <w:semiHidden/>
    <w:unhideWhenUsed/>
    <w:rsid w:val="006F25B8"/>
    <w:rPr>
      <w:sz w:val="16"/>
      <w:szCs w:val="16"/>
    </w:rPr>
  </w:style>
  <w:style w:type="paragraph" w:styleId="CommentText">
    <w:name w:val="annotation text"/>
    <w:basedOn w:val="Normal"/>
    <w:link w:val="CommentTextChar"/>
    <w:uiPriority w:val="99"/>
    <w:semiHidden/>
    <w:unhideWhenUsed/>
    <w:rsid w:val="006F25B8"/>
    <w:pPr>
      <w:spacing w:line="240" w:lineRule="auto"/>
    </w:pPr>
    <w:rPr>
      <w:sz w:val="20"/>
      <w:szCs w:val="20"/>
    </w:rPr>
  </w:style>
  <w:style w:type="character" w:customStyle="1" w:styleId="CommentTextChar">
    <w:name w:val="Comment Text Char"/>
    <w:basedOn w:val="DefaultParagraphFont"/>
    <w:link w:val="CommentText"/>
    <w:uiPriority w:val="99"/>
    <w:semiHidden/>
    <w:rsid w:val="006F25B8"/>
    <w:rPr>
      <w:sz w:val="20"/>
      <w:szCs w:val="20"/>
      <w:lang w:val="hr-HR"/>
    </w:rPr>
  </w:style>
  <w:style w:type="paragraph" w:styleId="CommentSubject">
    <w:name w:val="annotation subject"/>
    <w:basedOn w:val="CommentText"/>
    <w:next w:val="CommentText"/>
    <w:link w:val="CommentSubjectChar"/>
    <w:uiPriority w:val="99"/>
    <w:semiHidden/>
    <w:unhideWhenUsed/>
    <w:rsid w:val="006F25B8"/>
    <w:rPr>
      <w:b/>
      <w:bCs/>
    </w:rPr>
  </w:style>
  <w:style w:type="character" w:customStyle="1" w:styleId="CommentSubjectChar">
    <w:name w:val="Comment Subject Char"/>
    <w:basedOn w:val="CommentTextChar"/>
    <w:link w:val="CommentSubject"/>
    <w:uiPriority w:val="99"/>
    <w:semiHidden/>
    <w:rsid w:val="006F25B8"/>
    <w:rPr>
      <w:b/>
      <w:bCs/>
      <w:sz w:val="20"/>
      <w:szCs w:val="20"/>
      <w:lang w:val="hr-HR"/>
    </w:rPr>
  </w:style>
  <w:style w:type="paragraph" w:styleId="BalloonText">
    <w:name w:val="Balloon Text"/>
    <w:basedOn w:val="Normal"/>
    <w:link w:val="BalloonTextChar"/>
    <w:uiPriority w:val="99"/>
    <w:semiHidden/>
    <w:unhideWhenUsed/>
    <w:rsid w:val="006F2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5B8"/>
    <w:rPr>
      <w:rFonts w:ascii="Segoe UI" w:hAnsi="Segoe UI" w:cs="Segoe UI"/>
      <w:sz w:val="18"/>
      <w:szCs w:val="18"/>
      <w:lang w:val="hr-HR"/>
    </w:rPr>
  </w:style>
  <w:style w:type="paragraph" w:styleId="Revision">
    <w:name w:val="Revision"/>
    <w:hidden/>
    <w:uiPriority w:val="99"/>
    <w:semiHidden/>
    <w:rsid w:val="00EC70B8"/>
    <w:pPr>
      <w:spacing w:after="0" w:line="240" w:lineRule="auto"/>
    </w:pPr>
    <w:rPr>
      <w:lang w:val="hr-HR"/>
    </w:rPr>
  </w:style>
  <w:style w:type="paragraph" w:styleId="ListParagraph">
    <w:name w:val="List Paragraph"/>
    <w:basedOn w:val="Normal"/>
    <w:uiPriority w:val="34"/>
    <w:qFormat/>
    <w:rsid w:val="00ED7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0268">
      <w:bodyDiv w:val="1"/>
      <w:marLeft w:val="0"/>
      <w:marRight w:val="0"/>
      <w:marTop w:val="0"/>
      <w:marBottom w:val="0"/>
      <w:divBdr>
        <w:top w:val="none" w:sz="0" w:space="0" w:color="auto"/>
        <w:left w:val="none" w:sz="0" w:space="0" w:color="auto"/>
        <w:bottom w:val="none" w:sz="0" w:space="0" w:color="auto"/>
        <w:right w:val="none" w:sz="0" w:space="0" w:color="auto"/>
      </w:divBdr>
    </w:div>
    <w:div w:id="160437584">
      <w:bodyDiv w:val="1"/>
      <w:marLeft w:val="0"/>
      <w:marRight w:val="0"/>
      <w:marTop w:val="0"/>
      <w:marBottom w:val="0"/>
      <w:divBdr>
        <w:top w:val="none" w:sz="0" w:space="0" w:color="auto"/>
        <w:left w:val="none" w:sz="0" w:space="0" w:color="auto"/>
        <w:bottom w:val="none" w:sz="0" w:space="0" w:color="auto"/>
        <w:right w:val="none" w:sz="0" w:space="0" w:color="auto"/>
      </w:divBdr>
    </w:div>
    <w:div w:id="418527650">
      <w:bodyDiv w:val="1"/>
      <w:marLeft w:val="0"/>
      <w:marRight w:val="0"/>
      <w:marTop w:val="0"/>
      <w:marBottom w:val="0"/>
      <w:divBdr>
        <w:top w:val="none" w:sz="0" w:space="0" w:color="auto"/>
        <w:left w:val="none" w:sz="0" w:space="0" w:color="auto"/>
        <w:bottom w:val="none" w:sz="0" w:space="0" w:color="auto"/>
        <w:right w:val="none" w:sz="0" w:space="0" w:color="auto"/>
      </w:divBdr>
    </w:div>
    <w:div w:id="699550173">
      <w:bodyDiv w:val="1"/>
      <w:marLeft w:val="0"/>
      <w:marRight w:val="0"/>
      <w:marTop w:val="0"/>
      <w:marBottom w:val="0"/>
      <w:divBdr>
        <w:top w:val="none" w:sz="0" w:space="0" w:color="auto"/>
        <w:left w:val="none" w:sz="0" w:space="0" w:color="auto"/>
        <w:bottom w:val="none" w:sz="0" w:space="0" w:color="auto"/>
        <w:right w:val="none" w:sz="0" w:space="0" w:color="auto"/>
      </w:divBdr>
    </w:div>
    <w:div w:id="1180850362">
      <w:bodyDiv w:val="1"/>
      <w:marLeft w:val="0"/>
      <w:marRight w:val="0"/>
      <w:marTop w:val="0"/>
      <w:marBottom w:val="0"/>
      <w:divBdr>
        <w:top w:val="none" w:sz="0" w:space="0" w:color="auto"/>
        <w:left w:val="none" w:sz="0" w:space="0" w:color="auto"/>
        <w:bottom w:val="none" w:sz="0" w:space="0" w:color="auto"/>
        <w:right w:val="none" w:sz="0" w:space="0" w:color="auto"/>
      </w:divBdr>
    </w:div>
    <w:div w:id="1556431753">
      <w:bodyDiv w:val="1"/>
      <w:marLeft w:val="0"/>
      <w:marRight w:val="0"/>
      <w:marTop w:val="0"/>
      <w:marBottom w:val="0"/>
      <w:divBdr>
        <w:top w:val="none" w:sz="0" w:space="0" w:color="auto"/>
        <w:left w:val="none" w:sz="0" w:space="0" w:color="auto"/>
        <w:bottom w:val="none" w:sz="0" w:space="0" w:color="auto"/>
        <w:right w:val="none" w:sz="0" w:space="0" w:color="auto"/>
      </w:divBdr>
    </w:div>
    <w:div w:id="1580480012">
      <w:bodyDiv w:val="1"/>
      <w:marLeft w:val="0"/>
      <w:marRight w:val="0"/>
      <w:marTop w:val="0"/>
      <w:marBottom w:val="0"/>
      <w:divBdr>
        <w:top w:val="none" w:sz="0" w:space="0" w:color="auto"/>
        <w:left w:val="none" w:sz="0" w:space="0" w:color="auto"/>
        <w:bottom w:val="none" w:sz="0" w:space="0" w:color="auto"/>
        <w:right w:val="none" w:sz="0" w:space="0" w:color="auto"/>
      </w:divBdr>
    </w:div>
    <w:div w:id="1642036716">
      <w:bodyDiv w:val="1"/>
      <w:marLeft w:val="0"/>
      <w:marRight w:val="0"/>
      <w:marTop w:val="0"/>
      <w:marBottom w:val="0"/>
      <w:divBdr>
        <w:top w:val="none" w:sz="0" w:space="0" w:color="auto"/>
        <w:left w:val="none" w:sz="0" w:space="0" w:color="auto"/>
        <w:bottom w:val="none" w:sz="0" w:space="0" w:color="auto"/>
        <w:right w:val="none" w:sz="0" w:space="0" w:color="auto"/>
      </w:divBdr>
    </w:div>
    <w:div w:id="1934392421">
      <w:bodyDiv w:val="1"/>
      <w:marLeft w:val="0"/>
      <w:marRight w:val="0"/>
      <w:marTop w:val="0"/>
      <w:marBottom w:val="0"/>
      <w:divBdr>
        <w:top w:val="none" w:sz="0" w:space="0" w:color="auto"/>
        <w:left w:val="none" w:sz="0" w:space="0" w:color="auto"/>
        <w:bottom w:val="none" w:sz="0" w:space="0" w:color="auto"/>
        <w:right w:val="none" w:sz="0" w:space="0" w:color="auto"/>
      </w:divBdr>
    </w:div>
    <w:div w:id="1996294703">
      <w:bodyDiv w:val="1"/>
      <w:marLeft w:val="0"/>
      <w:marRight w:val="0"/>
      <w:marTop w:val="0"/>
      <w:marBottom w:val="0"/>
      <w:divBdr>
        <w:top w:val="none" w:sz="0" w:space="0" w:color="auto"/>
        <w:left w:val="none" w:sz="0" w:space="0" w:color="auto"/>
        <w:bottom w:val="none" w:sz="0" w:space="0" w:color="auto"/>
        <w:right w:val="none" w:sz="0" w:space="0" w:color="auto"/>
      </w:divBdr>
    </w:div>
    <w:div w:id="2036535942">
      <w:bodyDiv w:val="1"/>
      <w:marLeft w:val="0"/>
      <w:marRight w:val="0"/>
      <w:marTop w:val="0"/>
      <w:marBottom w:val="0"/>
      <w:divBdr>
        <w:top w:val="none" w:sz="0" w:space="0" w:color="auto"/>
        <w:left w:val="none" w:sz="0" w:space="0" w:color="auto"/>
        <w:bottom w:val="none" w:sz="0" w:space="0" w:color="auto"/>
        <w:right w:val="none" w:sz="0" w:space="0" w:color="auto"/>
      </w:divBdr>
    </w:div>
    <w:div w:id="2101102314">
      <w:bodyDiv w:val="1"/>
      <w:marLeft w:val="0"/>
      <w:marRight w:val="0"/>
      <w:marTop w:val="0"/>
      <w:marBottom w:val="0"/>
      <w:divBdr>
        <w:top w:val="none" w:sz="0" w:space="0" w:color="auto"/>
        <w:left w:val="none" w:sz="0" w:space="0" w:color="auto"/>
        <w:bottom w:val="none" w:sz="0" w:space="0" w:color="auto"/>
        <w:right w:val="none" w:sz="0" w:space="0" w:color="auto"/>
      </w:divBdr>
    </w:div>
    <w:div w:id="213964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 Id="rId27" Type="http://schemas.openxmlformats.org/officeDocument/2006/relationships/customXml" Target="../customXml/item5.xml"/></Relationships>
</file>

<file path=word/charts/_rels/chart1.xml.rels><?xml version="1.0" encoding="UTF-8" standalone="yes"?>
<Relationships xmlns="http://schemas.openxmlformats.org/package/2006/relationships"><Relationship Id="rId3" Type="http://schemas.openxmlformats.org/officeDocument/2006/relationships/oleObject" Target="file:///\\TRG29\Zakonodavstvo\Twinning\E-savjetovanja\Izvje&#353;&#263;e%20o%20provedbi%20savjetovanja%20za%202023\Tablica%20e-savjetovanje%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TRG29\Zakonodavstvo\Twinning\E-savjetovanja\Izvje&#353;&#263;e%20o%20provedbi%20savjetovanja%20za%202023\Tablica%20e-savjetovanje%20202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TRG29\Zakonodavstvo\Twinning\E-savjetovanja\Izvje&#353;&#263;e%20o%20provedbi%20savjetovanja%20za%202023\SAVJETOVANJE_SASTAV%20RADNIH%20SKUPIN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TRG29\Zakonodavstvo\Twinning\E-savjetovanja\Izvje&#353;&#263;e%20o%20provedbi%20savjetovanja%20za%202023\SAVJETOVANJE_SASTAV%20RADNIH%20SKUPIN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TRG29\Zakonodavstvo\Twinning\E-savjetovanja\Izvje&#353;&#263;e%20o%20provedbi%20savjetovanja%20za%202023\Tablica%20e-savjetovanje%202023..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TRG29\Zakonodavstvo\Twinning\E-savjetovanja\Izvje&#353;&#263;e%20o%20provedbi%20savjetovanja%20za%202023\Tablica%20e-savjetovanje%202023..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TRG29\Zakonodavstvo\Twinning\E-savjetovanja\Izvje&#353;&#263;e%20o%20provedbi%20savjetovanja%20za%202023\Tablica%20e-savjetovanje%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TRG29\Zakonodavstvo\Twinning\E-savjetovanja\Izvje&#353;&#263;e%20o%20provedbi%20savjetovanja%20za%202023\Tablica%20e-savjetovanje%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33333333333332E-3"/>
          <c:y val="4.6296296296296294E-3"/>
          <c:w val="0.93888888888888888"/>
          <c:h val="0.8416746864975212"/>
        </c:manualLayout>
      </c:layout>
      <c:barChart>
        <c:barDir val="col"/>
        <c:grouping val="clustered"/>
        <c:varyColors val="0"/>
        <c:ser>
          <c:idx val="0"/>
          <c:order val="0"/>
          <c:tx>
            <c:strRef>
              <c:f>'Graf trajanje od 2012. do 2023.'!$A$2</c:f>
              <c:strCache>
                <c:ptCount val="1"/>
                <c:pt idx="0">
                  <c:v>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 trajanje od 2012. do 2023.'!$B$1:$M$1</c:f>
              <c:strCach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strCache>
            </c:strRef>
          </c:cat>
          <c:val>
            <c:numRef>
              <c:f>'Graf trajanje od 2012. do 2023.'!$B$2:$M$2</c:f>
              <c:numCache>
                <c:formatCode>General</c:formatCode>
                <c:ptCount val="12"/>
                <c:pt idx="0">
                  <c:v>144</c:v>
                </c:pt>
                <c:pt idx="1">
                  <c:v>374</c:v>
                </c:pt>
                <c:pt idx="2">
                  <c:v>544</c:v>
                </c:pt>
                <c:pt idx="3">
                  <c:v>608</c:v>
                </c:pt>
                <c:pt idx="4">
                  <c:v>642</c:v>
                </c:pt>
                <c:pt idx="5">
                  <c:v>706</c:v>
                </c:pt>
                <c:pt idx="6">
                  <c:v>1033</c:v>
                </c:pt>
                <c:pt idx="7">
                  <c:v>1031</c:v>
                </c:pt>
                <c:pt idx="8">
                  <c:v>761</c:v>
                </c:pt>
                <c:pt idx="9">
                  <c:v>821</c:v>
                </c:pt>
                <c:pt idx="10">
                  <c:v>1028</c:v>
                </c:pt>
                <c:pt idx="11">
                  <c:v>822</c:v>
                </c:pt>
              </c:numCache>
            </c:numRef>
          </c:val>
          <c:extLst>
            <c:ext xmlns:c16="http://schemas.microsoft.com/office/drawing/2014/chart" uri="{C3380CC4-5D6E-409C-BE32-E72D297353CC}">
              <c16:uniqueId val="{00000000-B9A2-47AD-8A23-1438B5A882DA}"/>
            </c:ext>
          </c:extLst>
        </c:ser>
        <c:dLbls>
          <c:dLblPos val="inEnd"/>
          <c:showLegendKey val="0"/>
          <c:showVal val="1"/>
          <c:showCatName val="0"/>
          <c:showSerName val="0"/>
          <c:showPercent val="0"/>
          <c:showBubbleSize val="0"/>
        </c:dLbls>
        <c:gapWidth val="41"/>
        <c:axId val="418658200"/>
        <c:axId val="418658856"/>
        <c:extLst>
          <c:ext xmlns:c15="http://schemas.microsoft.com/office/drawing/2012/chart" uri="{02D57815-91ED-43cb-92C2-25804820EDAC}">
            <c15:filteredBarSeries>
              <c15:ser>
                <c:idx val="1"/>
                <c:order val="1"/>
                <c:tx>
                  <c:strRef>
                    <c:extLst>
                      <c:ext uri="{02D57815-91ED-43cb-92C2-25804820EDAC}">
                        <c15:formulaRef>
                          <c15:sqref>'Graf trajanje od 2012. do 2023.'!$A$3</c15:sqref>
                        </c15:formulaRef>
                      </c:ext>
                    </c:extLst>
                    <c:strCache>
                      <c:ptCount val="1"/>
                    </c:strCache>
                  </c:strRef>
                </c:tx>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'Graf trajanje od 2012. do 2023.'!$B$1:$M$1</c15:sqref>
                        </c15:formulaRef>
                      </c:ext>
                    </c:extLst>
                    <c:strCach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strCache>
                  </c:strRef>
                </c:cat>
                <c:val>
                  <c:numRef>
                    <c:extLst>
                      <c:ext uri="{02D57815-91ED-43cb-92C2-25804820EDAC}">
                        <c15:formulaRef>
                          <c15:sqref>'Graf trajanje od 2012. do 2023.'!$B$3:$M$3</c15:sqref>
                        </c15:formulaRef>
                      </c:ext>
                    </c:extLst>
                    <c:numCache>
                      <c:formatCode>General</c:formatCode>
                      <c:ptCount val="12"/>
                    </c:numCache>
                  </c:numRef>
                </c:val>
                <c:extLst>
                  <c:ext xmlns:c16="http://schemas.microsoft.com/office/drawing/2014/chart" uri="{C3380CC4-5D6E-409C-BE32-E72D297353CC}">
                    <c16:uniqueId val="{00000001-B9A2-47AD-8A23-1438B5A882DA}"/>
                  </c:ext>
                </c:extLst>
              </c15:ser>
            </c15:filteredBarSeries>
          </c:ext>
        </c:extLst>
      </c:barChart>
      <c:catAx>
        <c:axId val="418658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sr-Latn-RS"/>
          </a:p>
        </c:txPr>
        <c:crossAx val="418658856"/>
        <c:crosses val="autoZero"/>
        <c:auto val="1"/>
        <c:lblAlgn val="ctr"/>
        <c:lblOffset val="100"/>
        <c:noMultiLvlLbl val="0"/>
      </c:catAx>
      <c:valAx>
        <c:axId val="418658856"/>
        <c:scaling>
          <c:orientation val="minMax"/>
        </c:scaling>
        <c:delete val="1"/>
        <c:axPos val="l"/>
        <c:numFmt formatCode="General" sourceLinked="1"/>
        <c:majorTickMark val="none"/>
        <c:minorTickMark val="none"/>
        <c:tickLblPos val="nextTo"/>
        <c:crossAx val="41865820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'Vrsta propisa'!$A$2</c:f>
              <c:strCache>
                <c:ptCount val="1"/>
                <c:pt idx="0">
                  <c:v>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9FD-487D-B7E2-55A5844B707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9FD-487D-B7E2-55A5844B707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9FD-487D-B7E2-55A5844B707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9FD-487D-B7E2-55A5844B707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9FD-487D-B7E2-55A5844B707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9FD-487D-B7E2-55A5844B70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'Vrsta propisa'!$B$1:$G$1</c:f>
              <c:strCache>
                <c:ptCount val="6"/>
                <c:pt idx="0">
                  <c:v>Zakoni</c:v>
                </c:pt>
                <c:pt idx="1">
                  <c:v>Uredbe</c:v>
                </c:pt>
                <c:pt idx="2">
                  <c:v>Pravilnici</c:v>
                </c:pt>
                <c:pt idx="3">
                  <c:v>Odluke</c:v>
                </c:pt>
                <c:pt idx="4">
                  <c:v>Procjena učinaka propisa</c:v>
                </c:pt>
                <c:pt idx="5">
                  <c:v>Ostalo</c:v>
                </c:pt>
              </c:strCache>
            </c:strRef>
          </c:cat>
          <c:val>
            <c:numRef>
              <c:f>'Vrsta propisa'!$B$2:$G$2</c:f>
              <c:numCache>
                <c:formatCode>General</c:formatCode>
                <c:ptCount val="6"/>
                <c:pt idx="0">
                  <c:v>248</c:v>
                </c:pt>
                <c:pt idx="1">
                  <c:v>52</c:v>
                </c:pt>
                <c:pt idx="2">
                  <c:v>446</c:v>
                </c:pt>
                <c:pt idx="3">
                  <c:v>31</c:v>
                </c:pt>
                <c:pt idx="4">
                  <c:v>26</c:v>
                </c:pt>
                <c:pt idx="5">
                  <c:v>19</c:v>
                </c:pt>
              </c:numCache>
            </c:numRef>
          </c:val>
          <c:extLst>
            <c:ext xmlns:c16="http://schemas.microsoft.com/office/drawing/2014/chart" uri="{C3380CC4-5D6E-409C-BE32-E72D297353CC}">
              <c16:uniqueId val="{0000000C-B9FD-487D-B7E2-55A5844B70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345063226966667"/>
          <c:y val="2.0881471015778336E-2"/>
          <c:w val="0.55591580970199728"/>
          <c:h val="0.93067713349031156"/>
        </c:manualLayout>
      </c:layout>
      <c:barChart>
        <c:barDir val="bar"/>
        <c:grouping val="clustered"/>
        <c:varyColors val="0"/>
        <c:ser>
          <c:idx val="0"/>
          <c:order val="0"/>
          <c:spPr>
            <a:solidFill>
              <a:schemeClr val="accent1"/>
            </a:solidFill>
            <a:ln>
              <a:noFill/>
            </a:ln>
            <a:effectLst/>
          </c:spPr>
          <c:invertIfNegative val="0"/>
          <c:dLbls>
            <c:delete val="1"/>
          </c:dLbls>
          <c:cat>
            <c:strRef>
              <c:f>Sheet1!$A$2:$A$22</c:f>
              <c:strCache>
                <c:ptCount val="21"/>
                <c:pt idx="0">
                  <c:v>PREDSTAVNICI VIJEĆA NACIONALNIH MANJINA</c:v>
                </c:pt>
                <c:pt idx="1">
                  <c:v>UMJETNIČKE ORGANIZACIJE</c:v>
                </c:pt>
                <c:pt idx="2">
                  <c:v>OBITELJSKA POLJOPRIVREDNA GOSPODARSTVA</c:v>
                </c:pt>
                <c:pt idx="3">
                  <c:v>VJERSKE ZAJEDNICE</c:v>
                </c:pt>
                <c:pt idx="4">
                  <c:v>OBRTI</c:v>
                </c:pt>
                <c:pt idx="5">
                  <c:v>FONDACIJE</c:v>
                </c:pt>
                <c:pt idx="6">
                  <c:v>ZADRUGE</c:v>
                </c:pt>
                <c:pt idx="7">
                  <c:v>ZAKLADE</c:v>
                </c:pt>
                <c:pt idx="8">
                  <c:v>MEĐUNARODNE ORGANIZACIJE</c:v>
                </c:pt>
                <c:pt idx="9">
                  <c:v>POLITIČKE STRANKE</c:v>
                </c:pt>
                <c:pt idx="10">
                  <c:v>POJEDINCI</c:v>
                </c:pt>
                <c:pt idx="11">
                  <c:v>JEDINICE LOKALNE I PODRUČNE (REGIONALNE) SAMOUPRAVE</c:v>
                </c:pt>
                <c:pt idx="12">
                  <c:v>UDRUGE POSLODAVACA</c:v>
                </c:pt>
                <c:pt idx="13">
                  <c:v>TRGOVAČKA DRUŠTVA</c:v>
                </c:pt>
                <c:pt idx="14">
                  <c:v>UDRUGE SINDIKATA</c:v>
                </c:pt>
                <c:pt idx="15">
                  <c:v>OSTALI</c:v>
                </c:pt>
                <c:pt idx="16">
                  <c:v>UDRUGE</c:v>
                </c:pt>
                <c:pt idx="17">
                  <c:v>AKADEMSKA ZAJEDNICA</c:v>
                </c:pt>
                <c:pt idx="18">
                  <c:v>KOMORE</c:v>
                </c:pt>
                <c:pt idx="19">
                  <c:v>USTANOVE</c:v>
                </c:pt>
                <c:pt idx="20">
                  <c:v>DRŽAVNI SLUŽBENICI</c:v>
                </c:pt>
              </c:strCache>
            </c:strRef>
          </c:cat>
          <c:val>
            <c:numRef>
              <c:f>Sheet1!#REF!</c:f>
              <c:numCache>
                <c:formatCode>General</c:formatCode>
                <c:ptCount val="1"/>
                <c:pt idx="0">
                  <c:v>1</c:v>
                </c:pt>
              </c:numCache>
            </c:numRef>
          </c:val>
          <c:extLst>
            <c:ext xmlns:c16="http://schemas.microsoft.com/office/drawing/2014/chart" uri="{C3380CC4-5D6E-409C-BE32-E72D297353CC}">
              <c16:uniqueId val="{00000000-C55E-4CA3-8DE8-9988BE8558BB}"/>
            </c:ext>
          </c:extLst>
        </c:ser>
        <c:ser>
          <c:idx val="1"/>
          <c:order val="1"/>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C55E-4CA3-8DE8-9988BE8558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PREDSTAVNICI VIJEĆA NACIONALNIH MANJINA</c:v>
                </c:pt>
                <c:pt idx="1">
                  <c:v>UMJETNIČKE ORGANIZACIJE</c:v>
                </c:pt>
                <c:pt idx="2">
                  <c:v>OBITELJSKA POLJOPRIVREDNA GOSPODARSTVA</c:v>
                </c:pt>
                <c:pt idx="3">
                  <c:v>VJERSKE ZAJEDNICE</c:v>
                </c:pt>
                <c:pt idx="4">
                  <c:v>OBRTI</c:v>
                </c:pt>
                <c:pt idx="5">
                  <c:v>FONDACIJE</c:v>
                </c:pt>
                <c:pt idx="6">
                  <c:v>ZADRUGE</c:v>
                </c:pt>
                <c:pt idx="7">
                  <c:v>ZAKLADE</c:v>
                </c:pt>
                <c:pt idx="8">
                  <c:v>MEĐUNARODNE ORGANIZACIJE</c:v>
                </c:pt>
                <c:pt idx="9">
                  <c:v>POLITIČKE STRANKE</c:v>
                </c:pt>
                <c:pt idx="10">
                  <c:v>POJEDINCI</c:v>
                </c:pt>
                <c:pt idx="11">
                  <c:v>JEDINICE LOKALNE I PODRUČNE (REGIONALNE) SAMOUPRAVE</c:v>
                </c:pt>
                <c:pt idx="12">
                  <c:v>UDRUGE POSLODAVACA</c:v>
                </c:pt>
                <c:pt idx="13">
                  <c:v>TRGOVAČKA DRUŠTVA</c:v>
                </c:pt>
                <c:pt idx="14">
                  <c:v>UDRUGE SINDIKATA</c:v>
                </c:pt>
                <c:pt idx="15">
                  <c:v>OSTALI</c:v>
                </c:pt>
                <c:pt idx="16">
                  <c:v>UDRUGE</c:v>
                </c:pt>
                <c:pt idx="17">
                  <c:v>AKADEMSKA ZAJEDNICA</c:v>
                </c:pt>
                <c:pt idx="18">
                  <c:v>KOMORE</c:v>
                </c:pt>
                <c:pt idx="19">
                  <c:v>USTANOVE</c:v>
                </c:pt>
                <c:pt idx="20">
                  <c:v>DRŽAVNI SLUŽBENICI</c:v>
                </c:pt>
              </c:strCache>
            </c:strRef>
          </c:cat>
          <c:val>
            <c:numRef>
              <c:f>Sheet1!#REF!</c:f>
              <c:numCache>
                <c:formatCode>General</c:formatCode>
                <c:ptCount val="1"/>
                <c:pt idx="0">
                  <c:v>1</c:v>
                </c:pt>
              </c:numCache>
            </c:numRef>
          </c:val>
          <c:extLst>
            <c:ext xmlns:c16="http://schemas.microsoft.com/office/drawing/2014/chart" uri="{C3380CC4-5D6E-409C-BE32-E72D297353CC}">
              <c16:uniqueId val="{00000002-C55E-4CA3-8DE8-9988BE8558BB}"/>
            </c:ext>
          </c:extLst>
        </c:ser>
        <c:ser>
          <c:idx val="2"/>
          <c:order val="2"/>
          <c:spPr>
            <a:solidFill>
              <a:schemeClr val="accent3"/>
            </a:solidFill>
            <a:ln>
              <a:noFill/>
            </a:ln>
            <a:effectLst>
              <a:outerShdw blurRad="50800" dist="50800" dir="5400000" sx="1000" sy="1000" algn="ctr" rotWithShape="0">
                <a:srgbClr val="000000">
                  <a:alpha val="43137"/>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PREDSTAVNICI VIJEĆA NACIONALNIH MANJINA</c:v>
                </c:pt>
                <c:pt idx="1">
                  <c:v>UMJETNIČKE ORGANIZACIJE</c:v>
                </c:pt>
                <c:pt idx="2">
                  <c:v>OBITELJSKA POLJOPRIVREDNA GOSPODARSTVA</c:v>
                </c:pt>
                <c:pt idx="3">
                  <c:v>VJERSKE ZAJEDNICE</c:v>
                </c:pt>
                <c:pt idx="4">
                  <c:v>OBRTI</c:v>
                </c:pt>
                <c:pt idx="5">
                  <c:v>FONDACIJE</c:v>
                </c:pt>
                <c:pt idx="6">
                  <c:v>ZADRUGE</c:v>
                </c:pt>
                <c:pt idx="7">
                  <c:v>ZAKLADE</c:v>
                </c:pt>
                <c:pt idx="8">
                  <c:v>MEĐUNARODNE ORGANIZACIJE</c:v>
                </c:pt>
                <c:pt idx="9">
                  <c:v>POLITIČKE STRANKE</c:v>
                </c:pt>
                <c:pt idx="10">
                  <c:v>POJEDINCI</c:v>
                </c:pt>
                <c:pt idx="11">
                  <c:v>JEDINICE LOKALNE I PODRUČNE (REGIONALNE) SAMOUPRAVE</c:v>
                </c:pt>
                <c:pt idx="12">
                  <c:v>UDRUGE POSLODAVACA</c:v>
                </c:pt>
                <c:pt idx="13">
                  <c:v>TRGOVAČKA DRUŠTVA</c:v>
                </c:pt>
                <c:pt idx="14">
                  <c:v>UDRUGE SINDIKATA</c:v>
                </c:pt>
                <c:pt idx="15">
                  <c:v>OSTALI</c:v>
                </c:pt>
                <c:pt idx="16">
                  <c:v>UDRUGE</c:v>
                </c:pt>
                <c:pt idx="17">
                  <c:v>AKADEMSKA ZAJEDNICA</c:v>
                </c:pt>
                <c:pt idx="18">
                  <c:v>KOMORE</c:v>
                </c:pt>
                <c:pt idx="19">
                  <c:v>USTANOVE</c:v>
                </c:pt>
                <c:pt idx="20">
                  <c:v>DRŽAVNI SLUŽBENICI</c:v>
                </c:pt>
              </c:strCache>
            </c:strRef>
          </c:cat>
          <c:val>
            <c:numRef>
              <c:f>Sheet1!$B$2:$B$22</c:f>
              <c:numCache>
                <c:formatCode>General</c:formatCode>
                <c:ptCount val="21"/>
                <c:pt idx="0">
                  <c:v>0</c:v>
                </c:pt>
                <c:pt idx="1">
                  <c:v>0</c:v>
                </c:pt>
                <c:pt idx="2">
                  <c:v>10</c:v>
                </c:pt>
                <c:pt idx="3">
                  <c:v>0</c:v>
                </c:pt>
                <c:pt idx="4">
                  <c:v>2</c:v>
                </c:pt>
                <c:pt idx="5">
                  <c:v>0</c:v>
                </c:pt>
                <c:pt idx="6">
                  <c:v>0</c:v>
                </c:pt>
                <c:pt idx="7">
                  <c:v>1</c:v>
                </c:pt>
                <c:pt idx="8">
                  <c:v>3</c:v>
                </c:pt>
                <c:pt idx="9">
                  <c:v>0</c:v>
                </c:pt>
                <c:pt idx="10">
                  <c:v>18</c:v>
                </c:pt>
                <c:pt idx="11">
                  <c:v>47</c:v>
                </c:pt>
                <c:pt idx="12">
                  <c:v>39</c:v>
                </c:pt>
                <c:pt idx="13">
                  <c:v>35</c:v>
                </c:pt>
                <c:pt idx="14">
                  <c:v>35</c:v>
                </c:pt>
                <c:pt idx="15">
                  <c:v>253</c:v>
                </c:pt>
                <c:pt idx="16">
                  <c:v>167</c:v>
                </c:pt>
                <c:pt idx="17">
                  <c:v>221</c:v>
                </c:pt>
                <c:pt idx="18">
                  <c:v>153</c:v>
                </c:pt>
                <c:pt idx="19">
                  <c:v>202</c:v>
                </c:pt>
                <c:pt idx="20">
                  <c:v>2204</c:v>
                </c:pt>
              </c:numCache>
            </c:numRef>
          </c:val>
          <c:extLst>
            <c:ext xmlns:c16="http://schemas.microsoft.com/office/drawing/2014/chart" uri="{C3380CC4-5D6E-409C-BE32-E72D297353CC}">
              <c16:uniqueId val="{00000003-C55E-4CA3-8DE8-9988BE8558BB}"/>
            </c:ext>
          </c:extLst>
        </c:ser>
        <c:dLbls>
          <c:dLblPos val="inEnd"/>
          <c:showLegendKey val="0"/>
          <c:showVal val="1"/>
          <c:showCatName val="0"/>
          <c:showSerName val="0"/>
          <c:showPercent val="0"/>
          <c:showBubbleSize val="0"/>
        </c:dLbls>
        <c:gapWidth val="182"/>
        <c:axId val="438606040"/>
        <c:axId val="438606368"/>
      </c:barChart>
      <c:catAx>
        <c:axId val="4386060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438606368"/>
        <c:crosses val="autoZero"/>
        <c:auto val="1"/>
        <c:lblAlgn val="ctr"/>
        <c:lblOffset val="100"/>
        <c:noMultiLvlLbl val="0"/>
      </c:catAx>
      <c:valAx>
        <c:axId val="438606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386060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2"/>
          <c:order val="2"/>
          <c:tx>
            <c:strRef>
              <c:f>metode!$D$1</c:f>
              <c:strCache>
                <c:ptCount val="1"/>
                <c:pt idx="0">
                  <c:v>BROJ</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798-4E43-A98A-E6BE883E5A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798-4E43-A98A-E6BE883E5AB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798-4E43-A98A-E6BE883E5AB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798-4E43-A98A-E6BE883E5A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metode!$A$2:$A$5</c:f>
              <c:strCache>
                <c:ptCount val="4"/>
                <c:pt idx="0">
                  <c:v>INTERNETSKO SAVJETOVANJE</c:v>
                </c:pt>
                <c:pt idx="1">
                  <c:v>POJEDINAČNI ILI GRUPNI SAVJETODAVNI SASTANAK</c:v>
                </c:pt>
                <c:pt idx="2">
                  <c:v>OSTALO</c:v>
                </c:pt>
                <c:pt idx="3">
                  <c:v>JAVNA RASPRAVA/JAVNI SKUP</c:v>
                </c:pt>
              </c:strCache>
            </c:strRef>
          </c:cat>
          <c:val>
            <c:numRef>
              <c:f>metode!$D$2:$D$5</c:f>
              <c:numCache>
                <c:formatCode>General</c:formatCode>
                <c:ptCount val="4"/>
                <c:pt idx="0">
                  <c:v>38</c:v>
                </c:pt>
                <c:pt idx="1">
                  <c:v>14</c:v>
                </c:pt>
                <c:pt idx="2">
                  <c:v>3</c:v>
                </c:pt>
                <c:pt idx="3">
                  <c:v>26</c:v>
                </c:pt>
              </c:numCache>
            </c:numRef>
          </c:val>
          <c:extLst>
            <c:ext xmlns:c16="http://schemas.microsoft.com/office/drawing/2014/chart" uri="{C3380CC4-5D6E-409C-BE32-E72D297353CC}">
              <c16:uniqueId val="{00000008-A798-4E43-A98A-E6BE883E5AB5}"/>
            </c:ext>
          </c:extLst>
        </c:ser>
        <c:dLbls>
          <c:showLegendKey val="0"/>
          <c:showVal val="1"/>
          <c:showCatName val="0"/>
          <c:showSerName val="0"/>
          <c:showPercent val="0"/>
          <c:showBubbleSize val="0"/>
          <c:showLeaderLines val="1"/>
        </c:dLbls>
        <c:firstSliceAng val="0"/>
        <c:holeSize val="50"/>
        <c:extLst>
          <c:ext xmlns:c15="http://schemas.microsoft.com/office/drawing/2012/chart" uri="{02D57815-91ED-43cb-92C2-25804820EDAC}">
            <c15:filteredPieSeries>
              <c15:ser>
                <c:idx val="0"/>
                <c:order val="0"/>
                <c:tx>
                  <c:strRef>
                    <c:extLst>
                      <c:ext uri="{02D57815-91ED-43cb-92C2-25804820EDAC}">
                        <c15:formulaRef>
                          <c15:sqref>metode!$B$1</c15:sqref>
                        </c15:formulaRef>
                      </c:ext>
                    </c:extLst>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A798-4E43-A98A-E6BE883E5AB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A798-4E43-A98A-E6BE883E5AB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A798-4E43-A98A-E6BE883E5AB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A798-4E43-A98A-E6BE883E5A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metode!$A$2:$A$5</c15:sqref>
                        </c15:formulaRef>
                      </c:ext>
                    </c:extLst>
                    <c:strCache>
                      <c:ptCount val="4"/>
                      <c:pt idx="0">
                        <c:v>INTERNETSKO SAVJETOVANJE</c:v>
                      </c:pt>
                      <c:pt idx="1">
                        <c:v>POJEDINAČNI ILI GRUPNI SAVJETODAVNI SASTANAK</c:v>
                      </c:pt>
                      <c:pt idx="2">
                        <c:v>OSTALO</c:v>
                      </c:pt>
                      <c:pt idx="3">
                        <c:v>JAVNA RASPRAVA/JAVNI SKUP</c:v>
                      </c:pt>
                    </c:strCache>
                  </c:strRef>
                </c:cat>
                <c:val>
                  <c:numRef>
                    <c:extLst>
                      <c:ext uri="{02D57815-91ED-43cb-92C2-25804820EDAC}">
                        <c15:formulaRef>
                          <c15:sqref>metode!$B$2:$B$5</c15:sqref>
                        </c15:formulaRef>
                      </c:ext>
                    </c:extLst>
                    <c:numCache>
                      <c:formatCode>General</c:formatCode>
                      <c:ptCount val="4"/>
                    </c:numCache>
                  </c:numRef>
                </c:val>
                <c:extLst>
                  <c:ext xmlns:c16="http://schemas.microsoft.com/office/drawing/2014/chart" uri="{C3380CC4-5D6E-409C-BE32-E72D297353CC}">
                    <c16:uniqueId val="{00000011-A798-4E43-A98A-E6BE883E5AB5}"/>
                  </c:ext>
                </c:extLst>
              </c15:ser>
            </c15:filteredPieSeries>
            <c15:filteredPieSeries>
              <c15:ser>
                <c:idx val="1"/>
                <c:order val="1"/>
                <c:tx>
                  <c:strRef>
                    <c:extLst xmlns:c15="http://schemas.microsoft.com/office/drawing/2012/chart">
                      <c:ext xmlns:c15="http://schemas.microsoft.com/office/drawing/2012/chart" uri="{02D57815-91ED-43cb-92C2-25804820EDAC}">
                        <c15:formulaRef>
                          <c15:sqref>metode!$C$1</c15:sqref>
                        </c15:formulaRef>
                      </c:ext>
                    </c:extLst>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13-A798-4E43-A98A-E6BE883E5AB5}"/>
                    </c:ext>
                  </c:extLst>
                </c:dPt>
                <c:dPt>
                  <c:idx val="1"/>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15-A798-4E43-A98A-E6BE883E5AB5}"/>
                    </c:ext>
                  </c:extLst>
                </c:dPt>
                <c:dPt>
                  <c:idx val="2"/>
                  <c:bubble3D val="0"/>
                  <c:spPr>
                    <a:solidFill>
                      <a:schemeClr val="accent3"/>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17-A798-4E43-A98A-E6BE883E5AB5}"/>
                    </c:ext>
                  </c:extLst>
                </c:dPt>
                <c:dPt>
                  <c:idx val="3"/>
                  <c:bubble3D val="0"/>
                  <c:spPr>
                    <a:solidFill>
                      <a:schemeClr val="accent4"/>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19-A798-4E43-A98A-E6BE883E5A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metode!$A$2:$A$5</c15:sqref>
                        </c15:formulaRef>
                      </c:ext>
                    </c:extLst>
                    <c:strCache>
                      <c:ptCount val="4"/>
                      <c:pt idx="0">
                        <c:v>INTERNETSKO SAVJETOVANJE</c:v>
                      </c:pt>
                      <c:pt idx="1">
                        <c:v>POJEDINAČNI ILI GRUPNI SAVJETODAVNI SASTANAK</c:v>
                      </c:pt>
                      <c:pt idx="2">
                        <c:v>OSTALO</c:v>
                      </c:pt>
                      <c:pt idx="3">
                        <c:v>JAVNA RASPRAVA/JAVNI SKUP</c:v>
                      </c:pt>
                    </c:strCache>
                  </c:strRef>
                </c:cat>
                <c:val>
                  <c:numRef>
                    <c:extLst xmlns:c15="http://schemas.microsoft.com/office/drawing/2012/chart">
                      <c:ext xmlns:c15="http://schemas.microsoft.com/office/drawing/2012/chart" uri="{02D57815-91ED-43cb-92C2-25804820EDAC}">
                        <c15:formulaRef>
                          <c15:sqref>metode!$C$2:$C$5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1A-A798-4E43-A98A-E6BE883E5AB5}"/>
                  </c:ext>
                </c:extLst>
              </c15:ser>
            </c15:filteredPieSeries>
          </c:ext>
        </c:extLst>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'Trajanje savjetovanja 2023.'!$A$2</c:f>
              <c:strCache>
                <c:ptCount val="1"/>
                <c:pt idx="0">
                  <c:v>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7E5-4243-BB92-50E794BD795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E5-4243-BB92-50E794BD795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'Trajanje savjetovanja 2023.'!$B$1:$C$1</c:f>
              <c:strCache>
                <c:ptCount val="2"/>
                <c:pt idx="0">
                  <c:v>30 i više dana </c:v>
                </c:pt>
                <c:pt idx="1">
                  <c:v>Manje od 30 dana</c:v>
                </c:pt>
              </c:strCache>
            </c:strRef>
          </c:cat>
          <c:val>
            <c:numRef>
              <c:f>'Trajanje savjetovanja 2023.'!$B$2:$C$2</c:f>
              <c:numCache>
                <c:formatCode>General</c:formatCode>
                <c:ptCount val="2"/>
                <c:pt idx="0">
                  <c:v>106</c:v>
                </c:pt>
                <c:pt idx="1">
                  <c:v>716</c:v>
                </c:pt>
              </c:numCache>
            </c:numRef>
          </c:val>
          <c:extLst>
            <c:ext xmlns:c16="http://schemas.microsoft.com/office/drawing/2014/chart" uri="{C3380CC4-5D6E-409C-BE32-E72D297353CC}">
              <c16:uniqueId val="{00000004-C7E5-4243-BB92-50E794BD7952}"/>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'Trajanje savjetovanja 2023.'!$A$3</c15:sqref>
                        </c15:formulaRef>
                      </c:ext>
                    </c:extLst>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C7E5-4243-BB92-50E794BD795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C7E5-4243-BB92-50E794BD795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'Trajanje savjetovanja 2023.'!$B$1:$C$1</c15:sqref>
                        </c15:formulaRef>
                      </c:ext>
                    </c:extLst>
                    <c:strCache>
                      <c:ptCount val="2"/>
                      <c:pt idx="0">
                        <c:v>30 i više dana </c:v>
                      </c:pt>
                      <c:pt idx="1">
                        <c:v>Manje od 30 dana</c:v>
                      </c:pt>
                    </c:strCache>
                  </c:strRef>
                </c:cat>
                <c:val>
                  <c:numRef>
                    <c:extLst>
                      <c:ext uri="{02D57815-91ED-43cb-92C2-25804820EDAC}">
                        <c15:formulaRef>
                          <c15:sqref>'Trajanje savjetovanja 2023.'!$B$3:$C$3</c15:sqref>
                        </c15:formulaRef>
                      </c:ext>
                    </c:extLst>
                    <c:numCache>
                      <c:formatCode>General</c:formatCode>
                      <c:ptCount val="2"/>
                    </c:numCache>
                  </c:numRef>
                </c:val>
                <c:extLst>
                  <c:ext xmlns:c16="http://schemas.microsoft.com/office/drawing/2014/chart" uri="{C3380CC4-5D6E-409C-BE32-E72D297353CC}">
                    <c16:uniqueId val="{00000009-C7E5-4243-BB92-50E794BD7952}"/>
                  </c:ext>
                </c:extLst>
              </c15:ser>
            </c15:filteredPieSeries>
          </c:ext>
        </c:extLst>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ysClr val="windowText" lastClr="000000"/>
                </a:solidFill>
                <a:effectLst/>
                <a:latin typeface="+mn-lt"/>
                <a:ea typeface="+mn-ea"/>
                <a:cs typeface="+mn-cs"/>
              </a:defRPr>
            </a:pPr>
            <a:r>
              <a:rPr lang="hr-HR">
                <a:solidFill>
                  <a:sysClr val="windowText" lastClr="000000"/>
                </a:solidFill>
              </a:rPr>
              <a:t>Broj</a:t>
            </a:r>
            <a:r>
              <a:rPr lang="hr-HR" baseline="0">
                <a:solidFill>
                  <a:sysClr val="windowText" lastClr="000000"/>
                </a:solidFill>
              </a:rPr>
              <a:t> podnositelja komentara od 2012. do 2023. godine</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b="0" i="0" u="none" strike="noStrike" kern="1200" baseline="0">
              <a:solidFill>
                <a:sysClr val="windowText" lastClr="000000"/>
              </a:solidFill>
              <a:effectLst/>
              <a:latin typeface="+mn-lt"/>
              <a:ea typeface="+mn-ea"/>
              <a:cs typeface="+mn-cs"/>
            </a:defRPr>
          </a:pPr>
          <a:endParaRPr lang="sr-Latn-RS"/>
        </a:p>
      </c:txPr>
    </c:title>
    <c:autoTitleDeleted val="0"/>
    <c:plotArea>
      <c:layout>
        <c:manualLayout>
          <c:layoutTarget val="inner"/>
          <c:xMode val="edge"/>
          <c:yMode val="edge"/>
          <c:x val="1.3369796414463689E-2"/>
          <c:y val="0.14808945178149027"/>
          <c:w val="0.97326040717107265"/>
          <c:h val="0.79735847833835582"/>
        </c:manualLayout>
      </c:layout>
      <c:barChart>
        <c:barDir val="col"/>
        <c:grouping val="clustered"/>
        <c:varyColors val="0"/>
        <c:ser>
          <c:idx val="0"/>
          <c:order val="0"/>
          <c:tx>
            <c:strRef>
              <c:f>'Br. podnositelja 2012. - 2023.'!$A$2</c:f>
              <c:strCache>
                <c:ptCount val="1"/>
                <c:pt idx="0">
                  <c:v>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'Br. podnositelja 2012. - 2023.'!$B$1:$M$1</c:f>
              <c:strCach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strCache>
            </c:strRef>
          </c:cat>
          <c:val>
            <c:numRef>
              <c:f>'Br. podnositelja 2012. - 2023.'!$B$2:$M$2</c:f>
              <c:numCache>
                <c:formatCode>General</c:formatCode>
                <c:ptCount val="12"/>
                <c:pt idx="0">
                  <c:v>4786</c:v>
                </c:pt>
                <c:pt idx="1">
                  <c:v>8299</c:v>
                </c:pt>
                <c:pt idx="2">
                  <c:v>7482</c:v>
                </c:pt>
                <c:pt idx="3">
                  <c:v>5863</c:v>
                </c:pt>
                <c:pt idx="4">
                  <c:v>4105</c:v>
                </c:pt>
                <c:pt idx="5">
                  <c:v>5821</c:v>
                </c:pt>
                <c:pt idx="6">
                  <c:v>4712</c:v>
                </c:pt>
                <c:pt idx="7">
                  <c:v>4153</c:v>
                </c:pt>
                <c:pt idx="8">
                  <c:v>7212</c:v>
                </c:pt>
                <c:pt idx="9">
                  <c:v>8459</c:v>
                </c:pt>
                <c:pt idx="10">
                  <c:v>6552</c:v>
                </c:pt>
                <c:pt idx="11">
                  <c:v>6445</c:v>
                </c:pt>
              </c:numCache>
            </c:numRef>
          </c:val>
          <c:extLst>
            <c:ext xmlns:c16="http://schemas.microsoft.com/office/drawing/2014/chart" uri="{C3380CC4-5D6E-409C-BE32-E72D297353CC}">
              <c16:uniqueId val="{00000000-DDEF-44F4-8A7F-638679A267E7}"/>
            </c:ext>
          </c:extLst>
        </c:ser>
        <c:dLbls>
          <c:dLblPos val="inEnd"/>
          <c:showLegendKey val="0"/>
          <c:showVal val="1"/>
          <c:showCatName val="0"/>
          <c:showSerName val="0"/>
          <c:showPercent val="0"/>
          <c:showBubbleSize val="0"/>
        </c:dLbls>
        <c:gapWidth val="41"/>
        <c:axId val="680240968"/>
        <c:axId val="680242608"/>
        <c:extLst>
          <c:ext xmlns:c15="http://schemas.microsoft.com/office/drawing/2012/chart" uri="{02D57815-91ED-43cb-92C2-25804820EDAC}">
            <c15:filteredBarSeries>
              <c15:ser>
                <c:idx val="1"/>
                <c:order val="1"/>
                <c:tx>
                  <c:strRef>
                    <c:extLst>
                      <c:ext uri="{02D57815-91ED-43cb-92C2-25804820EDAC}">
                        <c15:formulaRef>
                          <c15:sqref>'Br. podnositelja 2012. - 2023.'!$A$3</c15:sqref>
                        </c15:formulaRef>
                      </c:ext>
                    </c:extLst>
                    <c:strCache>
                      <c:ptCount val="1"/>
                    </c:strCache>
                  </c:strRef>
                </c:tx>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'Br. podnositelja 2012. - 2023.'!$B$1:$M$1</c15:sqref>
                        </c15:formulaRef>
                      </c:ext>
                    </c:extLst>
                    <c:strCach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strCache>
                  </c:strRef>
                </c:cat>
                <c:val>
                  <c:numRef>
                    <c:extLst>
                      <c:ext uri="{02D57815-91ED-43cb-92C2-25804820EDAC}">
                        <c15:formulaRef>
                          <c15:sqref>'Br. podnositelja 2012. - 2023.'!$B$3:$M$3</c15:sqref>
                        </c15:formulaRef>
                      </c:ext>
                    </c:extLst>
                    <c:numCache>
                      <c:formatCode>General</c:formatCode>
                      <c:ptCount val="12"/>
                    </c:numCache>
                  </c:numRef>
                </c:val>
                <c:extLst>
                  <c:ext xmlns:c16="http://schemas.microsoft.com/office/drawing/2014/chart" uri="{C3380CC4-5D6E-409C-BE32-E72D297353CC}">
                    <c16:uniqueId val="{00000001-DDEF-44F4-8A7F-638679A267E7}"/>
                  </c:ext>
                </c:extLst>
              </c15:ser>
            </c15:filteredBarSeries>
          </c:ext>
        </c:extLst>
      </c:barChart>
      <c:catAx>
        <c:axId val="680240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sr-Latn-RS"/>
          </a:p>
        </c:txPr>
        <c:crossAx val="680242608"/>
        <c:crosses val="autoZero"/>
        <c:auto val="1"/>
        <c:lblAlgn val="ctr"/>
        <c:lblOffset val="100"/>
        <c:noMultiLvlLbl val="0"/>
      </c:catAx>
      <c:valAx>
        <c:axId val="680242608"/>
        <c:scaling>
          <c:orientation val="minMax"/>
        </c:scaling>
        <c:delete val="1"/>
        <c:axPos val="l"/>
        <c:numFmt formatCode="General" sourceLinked="1"/>
        <c:majorTickMark val="none"/>
        <c:minorTickMark val="none"/>
        <c:tickLblPos val="nextTo"/>
        <c:crossAx val="68024096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'Struktura podnositelja 2023'!$C$1</c:f>
              <c:strCache>
                <c:ptCount val="1"/>
                <c:pt idx="0">
                  <c:v>Broj podnesenih
komentara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50000"/>
                      </a:schemeClr>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'Struktura podnositelja 2023'!$B$2:$B$22</c:f>
              <c:strCache>
                <c:ptCount val="21"/>
                <c:pt idx="0">
                  <c:v>Pojedinci </c:v>
                </c:pt>
                <c:pt idx="1">
                  <c:v>Udruge</c:v>
                </c:pt>
                <c:pt idx="2">
                  <c:v>Trgovačka društva</c:v>
                </c:pt>
                <c:pt idx="3">
                  <c:v>Ustanove</c:v>
                </c:pt>
                <c:pt idx="4">
                  <c:v>Komore</c:v>
                </c:pt>
                <c:pt idx="5">
                  <c:v>Jedinice lokalne i područne (regionalne) samouprave</c:v>
                </c:pt>
                <c:pt idx="6">
                  <c:v>Državna tijela</c:v>
                </c:pt>
                <c:pt idx="7">
                  <c:v>Akademska zajednica</c:v>
                </c:pt>
                <c:pt idx="8">
                  <c:v>Udruge sindikata</c:v>
                </c:pt>
                <c:pt idx="9">
                  <c:v>Ostali </c:v>
                </c:pt>
                <c:pt idx="10">
                  <c:v>Obrti</c:v>
                </c:pt>
                <c:pt idx="11">
                  <c:v>Udruge poslodavaca</c:v>
                </c:pt>
                <c:pt idx="12">
                  <c:v>Obiteljska poljoprivredna gospodarstva</c:v>
                </c:pt>
                <c:pt idx="13">
                  <c:v>Političke stranke</c:v>
                </c:pt>
                <c:pt idx="14">
                  <c:v>Vjerske zajednice</c:v>
                </c:pt>
                <c:pt idx="15">
                  <c:v>Zadruge</c:v>
                </c:pt>
                <c:pt idx="16">
                  <c:v>Međunarodne organizacije</c:v>
                </c:pt>
                <c:pt idx="17">
                  <c:v>Zaklade</c:v>
                </c:pt>
                <c:pt idx="18">
                  <c:v>Predstavnici vijeća i nacionalnih manjina</c:v>
                </c:pt>
                <c:pt idx="19">
                  <c:v>Umjetničke organizacije</c:v>
                </c:pt>
                <c:pt idx="20">
                  <c:v>UKUPNO</c:v>
                </c:pt>
              </c:strCache>
            </c:strRef>
          </c:cat>
          <c:val>
            <c:numRef>
              <c:f>'Struktura podnositelja 2023'!$C$2:$C$22</c:f>
              <c:numCache>
                <c:formatCode>General</c:formatCode>
                <c:ptCount val="21"/>
                <c:pt idx="0">
                  <c:v>13074</c:v>
                </c:pt>
                <c:pt idx="1">
                  <c:v>2314</c:v>
                </c:pt>
                <c:pt idx="2">
                  <c:v>1453</c:v>
                </c:pt>
                <c:pt idx="3">
                  <c:v>571</c:v>
                </c:pt>
                <c:pt idx="4">
                  <c:v>733</c:v>
                </c:pt>
                <c:pt idx="5">
                  <c:v>557</c:v>
                </c:pt>
                <c:pt idx="6">
                  <c:v>532</c:v>
                </c:pt>
                <c:pt idx="7">
                  <c:v>131</c:v>
                </c:pt>
                <c:pt idx="8">
                  <c:v>92</c:v>
                </c:pt>
                <c:pt idx="9">
                  <c:v>238</c:v>
                </c:pt>
                <c:pt idx="10">
                  <c:v>145</c:v>
                </c:pt>
                <c:pt idx="11">
                  <c:v>49</c:v>
                </c:pt>
                <c:pt idx="12">
                  <c:v>52</c:v>
                </c:pt>
                <c:pt idx="13">
                  <c:v>1</c:v>
                </c:pt>
                <c:pt idx="14">
                  <c:v>2</c:v>
                </c:pt>
                <c:pt idx="15">
                  <c:v>31</c:v>
                </c:pt>
                <c:pt idx="16">
                  <c:v>1</c:v>
                </c:pt>
                <c:pt idx="17">
                  <c:v>2</c:v>
                </c:pt>
                <c:pt idx="18">
                  <c:v>7</c:v>
                </c:pt>
                <c:pt idx="19">
                  <c:v>6</c:v>
                </c:pt>
                <c:pt idx="20">
                  <c:v>19991</c:v>
                </c:pt>
              </c:numCache>
            </c:numRef>
          </c:val>
          <c:extLst>
            <c:ext xmlns:c16="http://schemas.microsoft.com/office/drawing/2014/chart" uri="{C3380CC4-5D6E-409C-BE32-E72D297353CC}">
              <c16:uniqueId val="{00000000-C289-4D8E-A8EE-0C65DC0E02D8}"/>
            </c:ext>
          </c:extLst>
        </c:ser>
        <c:dLbls>
          <c:dLblPos val="inEnd"/>
          <c:showLegendKey val="0"/>
          <c:showVal val="1"/>
          <c:showCatName val="0"/>
          <c:showSerName val="0"/>
          <c:showPercent val="0"/>
          <c:showBubbleSize val="0"/>
        </c:dLbls>
        <c:gapWidth val="65"/>
        <c:axId val="441519576"/>
        <c:axId val="441517280"/>
      </c:barChart>
      <c:catAx>
        <c:axId val="44151957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441517280"/>
        <c:crosses val="autoZero"/>
        <c:auto val="1"/>
        <c:lblAlgn val="ctr"/>
        <c:lblOffset val="100"/>
        <c:noMultiLvlLbl val="0"/>
      </c:catAx>
      <c:valAx>
        <c:axId val="44151728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44151957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'Struktura komentara 2023'!$A$2</c:f>
              <c:strCache>
                <c:ptCount val="1"/>
                <c:pt idx="0">
                  <c:v>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82-4BFD-BCD3-88BD6445F6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82-4BFD-BCD3-88BD6445F6E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382-4BFD-BCD3-88BD6445F6E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382-4BFD-BCD3-88BD6445F6E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382-4BFD-BCD3-88BD6445F6E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'Struktura komentara 2023'!$B$1:$F$1</c:f>
              <c:strCache>
                <c:ptCount val="5"/>
                <c:pt idx="0">
                  <c:v>Neodgovoreno</c:v>
                </c:pt>
                <c:pt idx="1">
                  <c:v>Djelomično prihvaćeno</c:v>
                </c:pt>
                <c:pt idx="2">
                  <c:v>Nije prihvaćeno</c:v>
                </c:pt>
                <c:pt idx="3">
                  <c:v>Prihvaćeno </c:v>
                </c:pt>
                <c:pt idx="4">
                  <c:v>Primljeno na znanje</c:v>
                </c:pt>
              </c:strCache>
            </c:strRef>
          </c:cat>
          <c:val>
            <c:numRef>
              <c:f>'Struktura komentara 2023'!$B$2:$F$2</c:f>
              <c:numCache>
                <c:formatCode>General</c:formatCode>
                <c:ptCount val="5"/>
                <c:pt idx="0">
                  <c:v>4087</c:v>
                </c:pt>
                <c:pt idx="1">
                  <c:v>1444</c:v>
                </c:pt>
                <c:pt idx="2">
                  <c:v>8017</c:v>
                </c:pt>
                <c:pt idx="3">
                  <c:v>1823</c:v>
                </c:pt>
                <c:pt idx="4">
                  <c:v>4560</c:v>
                </c:pt>
              </c:numCache>
            </c:numRef>
          </c:val>
          <c:extLst>
            <c:ext xmlns:c16="http://schemas.microsoft.com/office/drawing/2014/chart" uri="{C3380CC4-5D6E-409C-BE32-E72D297353CC}">
              <c16:uniqueId val="{0000000A-F382-4BFD-BCD3-88BD6445F6E7}"/>
            </c:ext>
          </c:extLst>
        </c:ser>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'Struktura komentara 2023'!$A$3</c15:sqref>
                        </c15:formulaRef>
                      </c:ext>
                    </c:extLst>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F382-4BFD-BCD3-88BD6445F6E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F382-4BFD-BCD3-88BD6445F6E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F382-4BFD-BCD3-88BD6445F6E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F382-4BFD-BCD3-88BD6445F6E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F382-4BFD-BCD3-88BD6445F6E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'Struktura komentara 2023'!$B$1:$F$1</c15:sqref>
                        </c15:formulaRef>
                      </c:ext>
                    </c:extLst>
                    <c:strCache>
                      <c:ptCount val="5"/>
                      <c:pt idx="0">
                        <c:v>Neodgovoreno</c:v>
                      </c:pt>
                      <c:pt idx="1">
                        <c:v>Djelomično prihvaćeno</c:v>
                      </c:pt>
                      <c:pt idx="2">
                        <c:v>Nije prihvaćeno</c:v>
                      </c:pt>
                      <c:pt idx="3">
                        <c:v>Prihvaćeno </c:v>
                      </c:pt>
                      <c:pt idx="4">
                        <c:v>Primljeno na znanje</c:v>
                      </c:pt>
                    </c:strCache>
                  </c:strRef>
                </c:cat>
                <c:val>
                  <c:numRef>
                    <c:extLst>
                      <c:ext uri="{02D57815-91ED-43cb-92C2-25804820EDAC}">
                        <c15:formulaRef>
                          <c15:sqref>'Struktura komentara 2023'!$B$3:$F$3</c15:sqref>
                        </c15:formulaRef>
                      </c:ext>
                    </c:extLst>
                    <c:numCache>
                      <c:formatCode>General</c:formatCode>
                      <c:ptCount val="5"/>
                    </c:numCache>
                  </c:numRef>
                </c:val>
                <c:extLst>
                  <c:ext xmlns:c16="http://schemas.microsoft.com/office/drawing/2014/chart" uri="{C3380CC4-5D6E-409C-BE32-E72D297353CC}">
                    <c16:uniqueId val="{00000015-F382-4BFD-BCD3-88BD6445F6E7}"/>
                  </c:ext>
                </c:extLst>
              </c15:ser>
            </c15:filteredPieSeries>
          </c:ext>
        </c:extLst>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AZJMDCZ6QSYZ-886166611-4045</_dlc_DocId>
    <_dlc_DocIdUrl xmlns="a494813a-d0d8-4dad-94cb-0d196f36ba15">
      <Url>https://ekoordinacije.vlada.hr/unutarnja-ljudska/_layouts/15/DocIdRedir.aspx?ID=AZJMDCZ6QSYZ-886166611-4045</Url>
      <Description>AZJMDCZ6QSYZ-886166611-4045</Description>
    </_dlc_DocIdUrl>
  </documentManagement>
</p:properties>
</file>

<file path=customXml/itemProps1.xml><?xml version="1.0" encoding="utf-8"?>
<ds:datastoreItem xmlns:ds="http://schemas.openxmlformats.org/officeDocument/2006/customXml" ds:itemID="{C64851DC-32D9-4F58-9D5E-7EE64185E45A}">
  <ds:schemaRefs>
    <ds:schemaRef ds:uri="http://schemas.openxmlformats.org/officeDocument/2006/bibliography"/>
  </ds:schemaRefs>
</ds:datastoreItem>
</file>

<file path=customXml/itemProps2.xml><?xml version="1.0" encoding="utf-8"?>
<ds:datastoreItem xmlns:ds="http://schemas.openxmlformats.org/officeDocument/2006/customXml" ds:itemID="{45A916E0-078E-41D3-A4D3-34A2AA83307D}"/>
</file>

<file path=customXml/itemProps3.xml><?xml version="1.0" encoding="utf-8"?>
<ds:datastoreItem xmlns:ds="http://schemas.openxmlformats.org/officeDocument/2006/customXml" ds:itemID="{F575C2C7-224B-42B7-87AE-1DEB6A455923}"/>
</file>

<file path=customXml/itemProps4.xml><?xml version="1.0" encoding="utf-8"?>
<ds:datastoreItem xmlns:ds="http://schemas.openxmlformats.org/officeDocument/2006/customXml" ds:itemID="{956C0E6C-D61C-4BA0-B30A-FBA64A47460B}"/>
</file>

<file path=customXml/itemProps5.xml><?xml version="1.0" encoding="utf-8"?>
<ds:datastoreItem xmlns:ds="http://schemas.openxmlformats.org/officeDocument/2006/customXml" ds:itemID="{B14952EF-6755-4075-867A-E54F2AC87A93}"/>
</file>

<file path=docProps/app.xml><?xml version="1.0" encoding="utf-8"?>
<Properties xmlns="http://schemas.openxmlformats.org/officeDocument/2006/extended-properties" xmlns:vt="http://schemas.openxmlformats.org/officeDocument/2006/docPropsVTypes">
  <Template>Normal</Template>
  <TotalTime>2</TotalTime>
  <Pages>21</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Relic</dc:creator>
  <cp:keywords/>
  <dc:description/>
  <cp:lastModifiedBy>Nemanja Relić</cp:lastModifiedBy>
  <cp:revision>2</cp:revision>
  <cp:lastPrinted>2024-09-02T08:04:00Z</cp:lastPrinted>
  <dcterms:created xsi:type="dcterms:W3CDTF">2024-09-02T10:23:00Z</dcterms:created>
  <dcterms:modified xsi:type="dcterms:W3CDTF">2024-09-02T10:23:00Z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5f8e1575-f68f-4c57-8f28-342b16c63a7e</vt:lpwstr>
  </property>
</Properties>
</file>